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color w:val="000000"/>
        </w:rPr>
      </w:pPr>
      <w:r>
        <w:rPr>
          <w:color w:val="000000"/>
        </w:rPr>
      </w:r>
    </w:p>
    <w:p>
      <w:pPr>
        <w:pStyle w:val="Normal"/>
        <w:jc w:val="center"/>
        <w:rPr>
          <w:rFonts w:ascii="Times New Roman" w:hAnsi="Times New Roman"/>
          <w:b/>
          <w:b/>
          <w:bCs/>
        </w:rPr>
      </w:pPr>
      <w:r>
        <w:rPr>
          <w:b/>
          <w:bCs/>
        </w:rPr>
      </w:r>
    </w:p>
    <w:p>
      <w:pPr>
        <w:pStyle w:val="Normal"/>
        <w:spacing w:lineRule="auto" w:line="276"/>
        <w:jc w:val="center"/>
        <w:rPr>
          <w:rFonts w:ascii="Times New Roman" w:hAnsi="Times New Roman"/>
        </w:rPr>
      </w:pPr>
      <w:r>
        <w:rPr>
          <w:b/>
          <w:bCs/>
        </w:rPr>
        <w:t>ESTUDO TÉCNICO PRELIMINAR Nº 20/2024</w:t>
      </w:r>
    </w:p>
    <w:p>
      <w:pPr>
        <w:pStyle w:val="ListParagraph"/>
        <w:widowControl/>
        <w:numPr>
          <w:ilvl w:val="0"/>
          <w:numId w:val="0"/>
        </w:numPr>
        <w:suppressAutoHyphens w:val="true"/>
        <w:overflowPunct w:val="false"/>
        <w:bidi w:val="0"/>
        <w:spacing w:lineRule="auto" w:line="240" w:before="120" w:after="120"/>
        <w:ind w:left="0" w:right="0" w:hanging="0"/>
        <w:contextualSpacing/>
        <w:jc w:val="left"/>
        <w:rPr>
          <w:b/>
          <w:b/>
        </w:rPr>
      </w:pPr>
      <w:r>
        <w:rPr>
          <w:b/>
        </w:rPr>
      </w:r>
    </w:p>
    <w:p>
      <w:pPr>
        <w:pStyle w:val="ListParagraph"/>
        <w:widowControl/>
        <w:numPr>
          <w:ilvl w:val="0"/>
          <w:numId w:val="0"/>
        </w:numPr>
        <w:suppressAutoHyphens w:val="true"/>
        <w:overflowPunct w:val="false"/>
        <w:bidi w:val="0"/>
        <w:spacing w:lineRule="auto" w:line="240" w:before="120" w:after="120"/>
        <w:ind w:left="0" w:right="0" w:hanging="0"/>
        <w:contextualSpacing/>
        <w:jc w:val="left"/>
        <w:rPr>
          <w:rFonts w:ascii="Times New Roman" w:hAnsi="Times New Roman"/>
        </w:rPr>
      </w:pPr>
      <w:r>
        <w:rPr>
          <w:rFonts w:ascii="Times New Roman" w:hAnsi="Times New Roman"/>
          <w:b/>
        </w:rPr>
        <w:t>1. OBJETO</w:t>
      </w:r>
    </w:p>
    <w:p>
      <w:pPr>
        <w:pStyle w:val="ListParagraph"/>
        <w:spacing w:lineRule="auto" w:line="276"/>
        <w:ind w:left="0" w:right="0" w:hanging="0"/>
        <w:rPr>
          <w:rFonts w:ascii="Times New Roman" w:hAnsi="Times New Roman"/>
          <w:b/>
          <w:b/>
        </w:rPr>
      </w:pPr>
      <w:r>
        <w:rPr>
          <w:rFonts w:ascii="Times New Roman" w:hAnsi="Times New Roman"/>
          <w:b/>
        </w:rPr>
      </w:r>
    </w:p>
    <w:p>
      <w:pPr>
        <w:pStyle w:val="ListParagraph"/>
        <w:spacing w:lineRule="auto" w:line="276"/>
        <w:ind w:left="0" w:right="0" w:hanging="0"/>
        <w:jc w:val="both"/>
        <w:rPr>
          <w:rFonts w:ascii="Times New Roman" w:hAnsi="Times New Roman"/>
        </w:rPr>
      </w:pPr>
      <w:r>
        <w:rPr>
          <w:rFonts w:ascii="Times New Roman" w:hAnsi="Times New Roman"/>
        </w:rPr>
        <w:t>Contratação de serviços para disponibilização de sistema digital como meio de realização de licitação eletrônica.</w:t>
      </w:r>
    </w:p>
    <w:p>
      <w:pPr>
        <w:pStyle w:val="ListParagraph"/>
        <w:spacing w:lineRule="auto" w:line="276"/>
        <w:ind w:left="0" w:right="0" w:hanging="0"/>
        <w:rPr>
          <w:rFonts w:ascii="Times New Roman" w:hAnsi="Times New Roman"/>
          <w:b/>
          <w:b/>
        </w:rPr>
      </w:pPr>
      <w:r>
        <w:rPr>
          <w:rFonts w:ascii="Times New Roman" w:hAnsi="Times New Roman"/>
          <w:b/>
        </w:rPr>
      </w:r>
    </w:p>
    <w:p>
      <w:pPr>
        <w:pStyle w:val="ListParagraph"/>
        <w:numPr>
          <w:ilvl w:val="0"/>
          <w:numId w:val="0"/>
        </w:numPr>
        <w:spacing w:lineRule="auto" w:line="240" w:before="120" w:after="120"/>
        <w:ind w:left="0" w:hanging="0"/>
        <w:contextualSpacing/>
        <w:jc w:val="both"/>
        <w:rPr>
          <w:rFonts w:ascii="Times New Roman" w:hAnsi="Times New Roman"/>
        </w:rPr>
      </w:pPr>
      <w:r>
        <w:rPr>
          <w:rFonts w:ascii="Times New Roman" w:hAnsi="Times New Roman"/>
          <w:b/>
        </w:rPr>
        <w:t>2. JUSTIFICATIVA</w:t>
      </w:r>
    </w:p>
    <w:p>
      <w:pPr>
        <w:pStyle w:val="ListParagraph"/>
        <w:numPr>
          <w:ilvl w:val="0"/>
          <w:numId w:val="0"/>
        </w:numPr>
        <w:spacing w:lineRule="auto" w:line="240" w:before="120" w:after="120"/>
        <w:ind w:left="0" w:hanging="0"/>
        <w:contextualSpacing/>
        <w:jc w:val="both"/>
        <w:rPr>
          <w:b/>
          <w:b/>
        </w:rPr>
      </w:pPr>
      <w:r>
        <w:rPr>
          <w:b/>
        </w:rPr>
      </w:r>
    </w:p>
    <w:p>
      <w:pPr>
        <w:pStyle w:val="Normal"/>
        <w:spacing w:lineRule="auto" w:line="276"/>
        <w:jc w:val="both"/>
        <w:rPr>
          <w:rFonts w:ascii="Times New Roman" w:hAnsi="Times New Roman"/>
        </w:rPr>
      </w:pPr>
      <w:r>
        <w:rPr/>
        <w:t>Essa contratação visa atender a necessidade de realização de licitação em meio digital, com padronização de procedimentos, unificação de banco de dados e mais eficiência nas compras públicas, em especial considerando a determinação prevista no art. 17, § 2º, da Lei nº 14.133/2021.</w:t>
      </w:r>
    </w:p>
    <w:p>
      <w:pPr>
        <w:pStyle w:val="ListParagraph"/>
        <w:spacing w:lineRule="auto" w:line="276"/>
        <w:ind w:left="0" w:right="0" w:hanging="0"/>
        <w:jc w:val="both"/>
        <w:rPr>
          <w:rFonts w:ascii="Times New Roman" w:hAnsi="Times New Roman"/>
        </w:rPr>
      </w:pPr>
      <w:r>
        <w:rPr>
          <w:rFonts w:ascii="Times New Roman" w:hAnsi="Times New Roman"/>
        </w:rPr>
        <w:t xml:space="preserve">Neste artigo, a Nova Lei de Licitações estabelece que as realizações de licitação deverão ocorrer preferencialmente sob a forma eletrônica, motivo pelo qual mostra-se necessário que </w:t>
      </w:r>
      <w:r>
        <w:rPr>
          <w:rFonts w:ascii="Times New Roman" w:hAnsi="Times New Roman"/>
          <w:b w:val="false"/>
          <w:bCs w:val="false"/>
        </w:rPr>
        <w:t>a Câmara Municipal de Três Passos adote tal ferramenta.</w:t>
      </w:r>
    </w:p>
    <w:p>
      <w:pPr>
        <w:pStyle w:val="ListParagraph"/>
        <w:spacing w:lineRule="auto" w:line="276"/>
        <w:ind w:left="0" w:right="0" w:hanging="0"/>
        <w:jc w:val="both"/>
        <w:rPr>
          <w:rFonts w:ascii="Times New Roman" w:hAnsi="Times New Roman"/>
        </w:rPr>
      </w:pPr>
      <w:r>
        <w:rPr>
          <w:rFonts w:ascii="Times New Roman" w:hAnsi="Times New Roman"/>
        </w:rPr>
        <w:t>Necessário pontuar, contudo, que a implementação do Pregão Eletrônico necessita de preparo e cuidados, em especial:</w:t>
      </w:r>
    </w:p>
    <w:p>
      <w:pPr>
        <w:pStyle w:val="ListParagraph"/>
        <w:spacing w:lineRule="auto" w:line="276"/>
        <w:ind w:left="0" w:right="0" w:hanging="0"/>
        <w:jc w:val="both"/>
        <w:rPr>
          <w:rFonts w:ascii="Times New Roman" w:hAnsi="Times New Roman"/>
        </w:rPr>
      </w:pPr>
      <w:r>
        <w:rPr>
          <w:rFonts w:ascii="Times New Roman" w:hAnsi="Times New Roman"/>
        </w:rPr>
      </w:r>
    </w:p>
    <w:p>
      <w:pPr>
        <w:pStyle w:val="ListParagraph"/>
        <w:numPr>
          <w:ilvl w:val="0"/>
          <w:numId w:val="10"/>
        </w:numPr>
        <w:spacing w:lineRule="auto" w:line="276"/>
        <w:jc w:val="both"/>
        <w:rPr>
          <w:rFonts w:ascii="Times New Roman" w:hAnsi="Times New Roman"/>
        </w:rPr>
      </w:pPr>
      <w:r>
        <w:rPr>
          <w:rFonts w:ascii="Times New Roman" w:hAnsi="Times New Roman"/>
        </w:rPr>
        <w:t>capacitação dos agentes envolvidos;</w:t>
      </w:r>
    </w:p>
    <w:p>
      <w:pPr>
        <w:pStyle w:val="ListParagraph"/>
        <w:numPr>
          <w:ilvl w:val="0"/>
          <w:numId w:val="10"/>
        </w:numPr>
        <w:spacing w:lineRule="auto" w:line="276"/>
        <w:jc w:val="both"/>
        <w:rPr>
          <w:rFonts w:ascii="Times New Roman" w:hAnsi="Times New Roman"/>
        </w:rPr>
      </w:pPr>
      <w:r>
        <w:rPr>
          <w:rFonts w:ascii="Times New Roman" w:hAnsi="Times New Roman"/>
        </w:rPr>
        <w:t>desenvolvimento de metodologias para proteger e privilegiar o mercado local, nas formas da Lei Complementar nº123/2006.</w:t>
      </w:r>
    </w:p>
    <w:p>
      <w:pPr>
        <w:pStyle w:val="ListParagraph"/>
        <w:spacing w:lineRule="auto" w:line="276"/>
        <w:ind w:left="0" w:right="0" w:hanging="0"/>
        <w:rPr>
          <w:rFonts w:ascii="Times New Roman" w:hAnsi="Times New Roman"/>
          <w:b/>
          <w:b/>
        </w:rPr>
      </w:pPr>
      <w:r>
        <w:rPr>
          <w:rFonts w:ascii="Times New Roman" w:hAnsi="Times New Roman"/>
          <w:b/>
        </w:rPr>
      </w:r>
    </w:p>
    <w:p>
      <w:pPr>
        <w:pStyle w:val="ListParagraph"/>
        <w:numPr>
          <w:ilvl w:val="0"/>
          <w:numId w:val="0"/>
        </w:numPr>
        <w:spacing w:lineRule="auto" w:line="240" w:before="120" w:after="120"/>
        <w:ind w:left="0" w:hanging="0"/>
        <w:contextualSpacing/>
        <w:jc w:val="both"/>
        <w:rPr>
          <w:rFonts w:ascii="Times New Roman" w:hAnsi="Times New Roman"/>
        </w:rPr>
      </w:pPr>
      <w:r>
        <w:rPr>
          <w:rFonts w:ascii="Times New Roman" w:hAnsi="Times New Roman"/>
          <w:b/>
        </w:rPr>
        <w:t>3. DEMANDA PREVISTA E QUANTIDADE A SEREM CONTRATADOS</w:t>
      </w:r>
    </w:p>
    <w:p>
      <w:pPr>
        <w:pStyle w:val="Normal"/>
        <w:spacing w:lineRule="auto" w:line="276" w:before="0" w:after="0"/>
        <w:jc w:val="both"/>
        <w:rPr>
          <w:rFonts w:ascii="Times New Roman" w:hAnsi="Times New Roman"/>
        </w:rPr>
      </w:pPr>
      <w:r>
        <w:rPr>
          <w:rFonts w:cs="Times New Roman"/>
          <w:szCs w:val="28"/>
        </w:rPr>
        <w:t>A demanda é definida pelas modalidades que serão utilizadas, quantidades de certames durante o exercício financeiro e pela quantidade de usuários  que poderão utilizar o sistema.</w:t>
      </w:r>
    </w:p>
    <w:p>
      <w:pPr>
        <w:pStyle w:val="Normal"/>
        <w:spacing w:lineRule="auto" w:line="276" w:before="0" w:after="0"/>
        <w:jc w:val="both"/>
        <w:rPr>
          <w:rFonts w:ascii="Times New Roman" w:hAnsi="Times New Roman"/>
        </w:rPr>
      </w:pPr>
      <w:r>
        <w:rPr>
          <w:rFonts w:cs="Times New Roman"/>
        </w:rPr>
        <w:t>Os procedimentos demandados são:</w:t>
      </w:r>
    </w:p>
    <w:p>
      <w:pPr>
        <w:pStyle w:val="ListParagraph"/>
        <w:numPr>
          <w:ilvl w:val="0"/>
          <w:numId w:val="16"/>
        </w:numPr>
        <w:spacing w:lineRule="auto" w:line="252" w:before="0" w:after="160"/>
        <w:contextualSpacing/>
        <w:rPr>
          <w:rFonts w:ascii="Times New Roman" w:hAnsi="Times New Roman"/>
        </w:rPr>
      </w:pPr>
      <w:r>
        <w:rPr>
          <w:rFonts w:cs="Calibri" w:ascii="Times New Roman" w:hAnsi="Times New Roman"/>
        </w:rPr>
        <w:t>Pregão eletrônico;</w:t>
      </w:r>
    </w:p>
    <w:p>
      <w:pPr>
        <w:pStyle w:val="ListParagraph"/>
        <w:numPr>
          <w:ilvl w:val="0"/>
          <w:numId w:val="16"/>
        </w:numPr>
        <w:spacing w:lineRule="auto" w:line="252" w:before="0" w:after="160"/>
        <w:contextualSpacing/>
        <w:rPr>
          <w:rFonts w:ascii="Times New Roman" w:hAnsi="Times New Roman"/>
        </w:rPr>
      </w:pPr>
      <w:r>
        <w:rPr>
          <w:rFonts w:cs="Calibri" w:ascii="Times New Roman" w:hAnsi="Times New Roman"/>
        </w:rPr>
        <w:t>Pregão progressivo;</w:t>
      </w:r>
    </w:p>
    <w:p>
      <w:pPr>
        <w:pStyle w:val="ListParagraph"/>
        <w:numPr>
          <w:ilvl w:val="0"/>
          <w:numId w:val="16"/>
        </w:numPr>
        <w:spacing w:lineRule="auto" w:line="252" w:before="0" w:after="160"/>
        <w:contextualSpacing/>
        <w:rPr>
          <w:rFonts w:ascii="Times New Roman" w:hAnsi="Times New Roman"/>
        </w:rPr>
      </w:pPr>
      <w:r>
        <w:rPr>
          <w:rFonts w:cs="Calibri" w:ascii="Times New Roman" w:hAnsi="Times New Roman"/>
        </w:rPr>
        <w:t>Pregão para registro de preços eletrônico;</w:t>
      </w:r>
    </w:p>
    <w:p>
      <w:pPr>
        <w:pStyle w:val="ListParagraph"/>
        <w:numPr>
          <w:ilvl w:val="0"/>
          <w:numId w:val="16"/>
        </w:numPr>
        <w:spacing w:lineRule="auto" w:line="252" w:before="0" w:after="160"/>
        <w:contextualSpacing/>
        <w:rPr>
          <w:rFonts w:ascii="Times New Roman" w:hAnsi="Times New Roman"/>
        </w:rPr>
      </w:pPr>
      <w:r>
        <w:rPr>
          <w:rFonts w:cs="Calibri" w:ascii="Times New Roman" w:hAnsi="Times New Roman"/>
        </w:rPr>
        <w:t>Cotação eletrônica para aquisição de bens e serviços comuns conforme a Lei;</w:t>
      </w:r>
    </w:p>
    <w:p>
      <w:pPr>
        <w:pStyle w:val="ListParagraph"/>
        <w:numPr>
          <w:ilvl w:val="0"/>
          <w:numId w:val="16"/>
        </w:numPr>
        <w:spacing w:lineRule="auto" w:line="252" w:before="0" w:after="160"/>
        <w:contextualSpacing/>
        <w:rPr>
          <w:rFonts w:ascii="Times New Roman" w:hAnsi="Times New Roman"/>
        </w:rPr>
      </w:pPr>
      <w:r>
        <w:rPr>
          <w:rFonts w:cs="Calibri" w:ascii="Times New Roman" w:hAnsi="Times New Roman"/>
        </w:rPr>
        <w:t>Cotação eletrônica para elaboração de preços de referência;</w:t>
      </w:r>
    </w:p>
    <w:p>
      <w:pPr>
        <w:pStyle w:val="ListParagraph"/>
        <w:numPr>
          <w:ilvl w:val="0"/>
          <w:numId w:val="16"/>
        </w:numPr>
        <w:spacing w:lineRule="auto" w:line="252" w:before="0" w:after="160"/>
        <w:contextualSpacing/>
        <w:rPr>
          <w:rFonts w:ascii="Times New Roman" w:hAnsi="Times New Roman"/>
        </w:rPr>
      </w:pPr>
      <w:r>
        <w:rPr>
          <w:rFonts w:cs="Calibri" w:ascii="Times New Roman" w:hAnsi="Times New Roman"/>
        </w:rPr>
        <w:t>Concorrência eletrônica;</w:t>
      </w:r>
    </w:p>
    <w:p>
      <w:pPr>
        <w:pStyle w:val="ListParagraph"/>
        <w:numPr>
          <w:ilvl w:val="0"/>
          <w:numId w:val="16"/>
        </w:numPr>
        <w:spacing w:lineRule="auto" w:line="252" w:before="0" w:after="160"/>
        <w:contextualSpacing/>
        <w:rPr>
          <w:rFonts w:ascii="Times New Roman" w:hAnsi="Times New Roman"/>
        </w:rPr>
      </w:pPr>
      <w:r>
        <w:rPr>
          <w:rFonts w:cs="Calibri" w:ascii="Times New Roman" w:hAnsi="Times New Roman"/>
        </w:rPr>
        <w:t>Chamada Pública da agricultura familiar;</w:t>
      </w:r>
    </w:p>
    <w:p>
      <w:pPr>
        <w:pStyle w:val="ListParagraph"/>
        <w:numPr>
          <w:ilvl w:val="0"/>
          <w:numId w:val="16"/>
        </w:numPr>
        <w:spacing w:lineRule="auto" w:line="252" w:before="0" w:after="0"/>
        <w:contextualSpacing/>
        <w:jc w:val="both"/>
        <w:rPr>
          <w:rFonts w:ascii="Times New Roman" w:hAnsi="Times New Roman"/>
        </w:rPr>
      </w:pPr>
      <w:r>
        <w:rPr>
          <w:rFonts w:cs="Calibri" w:ascii="Times New Roman" w:hAnsi="Times New Roman"/>
        </w:rPr>
        <w:t>Chamamento público; e</w:t>
      </w:r>
    </w:p>
    <w:p>
      <w:pPr>
        <w:pStyle w:val="ListParagraph"/>
        <w:numPr>
          <w:ilvl w:val="0"/>
          <w:numId w:val="16"/>
        </w:numPr>
        <w:spacing w:lineRule="auto" w:line="252" w:before="0" w:after="0"/>
        <w:contextualSpacing/>
        <w:jc w:val="both"/>
        <w:rPr>
          <w:rFonts w:ascii="Times New Roman" w:hAnsi="Times New Roman"/>
        </w:rPr>
      </w:pPr>
      <w:r>
        <w:rPr>
          <w:rFonts w:ascii="Times New Roman" w:hAnsi="Times New Roman"/>
        </w:rPr>
        <w:t>Leilão eletrônico</w:t>
      </w:r>
    </w:p>
    <w:p>
      <w:pPr>
        <w:pStyle w:val="Normal"/>
        <w:spacing w:lineRule="auto" w:line="276" w:before="0" w:after="0"/>
        <w:jc w:val="both"/>
        <w:rPr>
          <w:rFonts w:ascii="Times New Roman" w:hAnsi="Times New Roman" w:cs="Times New Roman"/>
          <w:szCs w:val="28"/>
        </w:rPr>
      </w:pPr>
      <w:r>
        <w:rPr>
          <w:rFonts w:cs="Times New Roman"/>
          <w:szCs w:val="28"/>
        </w:rPr>
      </w:r>
    </w:p>
    <w:p>
      <w:pPr>
        <w:pStyle w:val="Normal"/>
        <w:spacing w:lineRule="auto" w:line="276" w:before="0" w:after="0"/>
        <w:jc w:val="both"/>
        <w:rPr>
          <w:rFonts w:ascii="Times New Roman" w:hAnsi="Times New Roman" w:cs="Times New Roman"/>
          <w:szCs w:val="28"/>
        </w:rPr>
      </w:pPr>
      <w:r>
        <w:rPr>
          <w:rFonts w:cs="Times New Roman"/>
          <w:szCs w:val="28"/>
        </w:rPr>
      </w:r>
    </w:p>
    <w:p>
      <w:pPr>
        <w:pStyle w:val="Normal"/>
        <w:spacing w:lineRule="auto" w:line="276" w:before="0" w:after="0"/>
        <w:jc w:val="both"/>
        <w:rPr>
          <w:rFonts w:ascii="Times New Roman" w:hAnsi="Times New Roman"/>
        </w:rPr>
      </w:pPr>
      <w:r>
        <w:rPr>
          <w:rFonts w:cs="Times New Roman"/>
          <w:szCs w:val="28"/>
        </w:rPr>
        <w:t>As demandas de usuários/servidores podem ser visualizadas a seguir:</w:t>
      </w:r>
    </w:p>
    <w:tbl>
      <w:tblPr>
        <w:tblW w:w="8494" w:type="dxa"/>
        <w:jc w:val="left"/>
        <w:tblInd w:w="108" w:type="dxa"/>
        <w:tblLayout w:type="fixed"/>
        <w:tblCellMar>
          <w:top w:w="0" w:type="dxa"/>
          <w:left w:w="108" w:type="dxa"/>
          <w:bottom w:w="0" w:type="dxa"/>
          <w:right w:w="108" w:type="dxa"/>
        </w:tblCellMar>
      </w:tblPr>
      <w:tblGrid>
        <w:gridCol w:w="2825"/>
        <w:gridCol w:w="2939"/>
        <w:gridCol w:w="2730"/>
      </w:tblGrid>
      <w:tr>
        <w:trPr/>
        <w:tc>
          <w:tcPr>
            <w:tcW w:w="2825"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eastAsia="Calibri" w:cs="0" w:ascii="Times New Roman" w:hAnsi="Times New Roman"/>
                <w:b/>
                <w:sz w:val="22"/>
                <w:szCs w:val="22"/>
              </w:rPr>
              <w:t>SETOR</w:t>
            </w:r>
          </w:p>
        </w:tc>
        <w:tc>
          <w:tcPr>
            <w:tcW w:w="293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eastAsia="Calibri" w:cs="0" w:ascii="Times New Roman" w:hAnsi="Times New Roman"/>
                <w:b/>
                <w:sz w:val="22"/>
                <w:szCs w:val="22"/>
              </w:rPr>
              <w:t>QTD. USUÁRIOS</w:t>
            </w:r>
          </w:p>
        </w:tc>
        <w:tc>
          <w:tcPr>
            <w:tcW w:w="2730"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eastAsia="Calibri" w:cs="0" w:ascii="Times New Roman" w:hAnsi="Times New Roman"/>
                <w:b/>
                <w:sz w:val="22"/>
                <w:szCs w:val="22"/>
              </w:rPr>
              <w:t>Tipo de acesso</w:t>
            </w:r>
          </w:p>
        </w:tc>
      </w:tr>
      <w:tr>
        <w:trPr/>
        <w:tc>
          <w:tcPr>
            <w:tcW w:w="2825"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ascii="Times New Roman" w:hAnsi="Times New Roman"/>
                <w:b/>
              </w:rPr>
              <w:t>Câmara Municipal</w:t>
            </w:r>
          </w:p>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ascii="Times New Roman" w:hAnsi="Times New Roman"/>
                <w:b/>
              </w:rPr>
              <w:t>de  Vereadores de Três Passos-RS</w:t>
            </w:r>
          </w:p>
        </w:tc>
        <w:tc>
          <w:tcPr>
            <w:tcW w:w="2939"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ascii="Times New Roman" w:hAnsi="Times New Roman"/>
                <w:b/>
              </w:rPr>
              <w:t>0</w:t>
            </w:r>
            <w:r>
              <w:rPr>
                <w:rFonts w:ascii="Times New Roman" w:hAnsi="Times New Roman"/>
                <w:b/>
              </w:rPr>
              <w:t>3</w:t>
            </w:r>
            <w:r>
              <w:rPr>
                <w:rFonts w:ascii="Times New Roman" w:hAnsi="Times New Roman"/>
                <w:b/>
              </w:rPr>
              <w:t xml:space="preserve"> USUÁRIO</w:t>
            </w:r>
            <w:r>
              <w:rPr>
                <w:rFonts w:ascii="Times New Roman" w:hAnsi="Times New Roman"/>
                <w:b/>
              </w:rPr>
              <w:t>S</w:t>
            </w:r>
          </w:p>
        </w:tc>
        <w:tc>
          <w:tcPr>
            <w:tcW w:w="2730"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eastAsia="Calibri" w:cs="0" w:ascii="Times New Roman" w:hAnsi="Times New Roman"/>
                <w:bCs/>
                <w:sz w:val="22"/>
                <w:szCs w:val="22"/>
              </w:rPr>
              <w:t>Estudo Técnico Preliminar, Termo de Referência, Projeto Básico.</w:t>
            </w:r>
          </w:p>
        </w:tc>
      </w:tr>
      <w:tr>
        <w:trPr/>
        <w:tc>
          <w:tcPr>
            <w:tcW w:w="2825"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b/>
                <w:b/>
              </w:rPr>
            </w:pPr>
            <w:r>
              <w:rPr>
                <w:rFonts w:ascii="Times New Roman" w:hAnsi="Times New Roman"/>
                <w:b/>
              </w:rPr>
            </w:r>
          </w:p>
        </w:tc>
        <w:tc>
          <w:tcPr>
            <w:tcW w:w="293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b/>
                <w:b/>
              </w:rPr>
            </w:pPr>
            <w:r>
              <w:rPr>
                <w:rFonts w:ascii="Times New Roman" w:hAnsi="Times New Roman"/>
                <w:b/>
              </w:rPr>
            </w:r>
          </w:p>
        </w:tc>
        <w:tc>
          <w:tcPr>
            <w:tcW w:w="2730"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eastAsia="Calibri" w:cs="0" w:ascii="Times New Roman" w:hAnsi="Times New Roman"/>
                <w:bCs/>
                <w:sz w:val="22"/>
                <w:szCs w:val="22"/>
              </w:rPr>
              <w:t>Pesquisa de Preço</w:t>
            </w:r>
          </w:p>
        </w:tc>
      </w:tr>
      <w:tr>
        <w:trPr/>
        <w:tc>
          <w:tcPr>
            <w:tcW w:w="2825"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b/>
                <w:b/>
              </w:rPr>
            </w:pPr>
            <w:r>
              <w:rPr>
                <w:rFonts w:ascii="Times New Roman" w:hAnsi="Times New Roman"/>
                <w:b/>
              </w:rPr>
            </w:r>
          </w:p>
        </w:tc>
        <w:tc>
          <w:tcPr>
            <w:tcW w:w="293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b/>
                <w:b/>
              </w:rPr>
            </w:pPr>
            <w:r>
              <w:rPr>
                <w:rFonts w:ascii="Times New Roman" w:hAnsi="Times New Roman"/>
                <w:b/>
              </w:rPr>
            </w:r>
          </w:p>
        </w:tc>
        <w:tc>
          <w:tcPr>
            <w:tcW w:w="2730"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eastAsia="Calibri" w:cs="0" w:ascii="Times New Roman" w:hAnsi="Times New Roman"/>
                <w:bCs/>
                <w:sz w:val="22"/>
                <w:szCs w:val="22"/>
              </w:rPr>
              <w:t>Dispensa de Licitação</w:t>
            </w:r>
          </w:p>
        </w:tc>
      </w:tr>
      <w:tr>
        <w:trPr/>
        <w:tc>
          <w:tcPr>
            <w:tcW w:w="2825"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b/>
                <w:b/>
              </w:rPr>
            </w:pPr>
            <w:r>
              <w:rPr>
                <w:rFonts w:ascii="Times New Roman" w:hAnsi="Times New Roman"/>
                <w:b/>
              </w:rPr>
            </w:r>
          </w:p>
        </w:tc>
        <w:tc>
          <w:tcPr>
            <w:tcW w:w="293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b/>
                <w:b/>
              </w:rPr>
            </w:pPr>
            <w:r>
              <w:rPr>
                <w:rFonts w:ascii="Times New Roman" w:hAnsi="Times New Roman"/>
                <w:b/>
              </w:rPr>
            </w:r>
          </w:p>
        </w:tc>
        <w:tc>
          <w:tcPr>
            <w:tcW w:w="2730"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eastAsia="Calibri" w:cs="0" w:ascii="Times New Roman" w:hAnsi="Times New Roman"/>
                <w:bCs/>
                <w:sz w:val="22"/>
                <w:szCs w:val="22"/>
              </w:rPr>
              <w:t>Comissão de Licitação</w:t>
            </w:r>
          </w:p>
        </w:tc>
      </w:tr>
      <w:tr>
        <w:trPr/>
        <w:tc>
          <w:tcPr>
            <w:tcW w:w="2825"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b/>
                <w:b/>
              </w:rPr>
            </w:pPr>
            <w:r>
              <w:rPr>
                <w:rFonts w:ascii="Times New Roman" w:hAnsi="Times New Roman"/>
                <w:b/>
              </w:rPr>
            </w:r>
          </w:p>
        </w:tc>
        <w:tc>
          <w:tcPr>
            <w:tcW w:w="293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b/>
                <w:b/>
              </w:rPr>
            </w:pPr>
            <w:r>
              <w:rPr>
                <w:rFonts w:ascii="Times New Roman" w:hAnsi="Times New Roman"/>
                <w:b/>
              </w:rPr>
            </w:r>
          </w:p>
        </w:tc>
        <w:tc>
          <w:tcPr>
            <w:tcW w:w="2730"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eastAsia="Calibri" w:cs="0" w:ascii="Times New Roman" w:hAnsi="Times New Roman"/>
                <w:bCs/>
                <w:sz w:val="22"/>
                <w:szCs w:val="22"/>
              </w:rPr>
              <w:t>Pregoeiro / Agente de Contratação</w:t>
            </w:r>
          </w:p>
        </w:tc>
      </w:tr>
      <w:tr>
        <w:trPr/>
        <w:tc>
          <w:tcPr>
            <w:tcW w:w="2825"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b/>
                <w:b/>
              </w:rPr>
            </w:pPr>
            <w:r>
              <w:rPr>
                <w:rFonts w:ascii="Times New Roman" w:hAnsi="Times New Roman"/>
                <w:b/>
              </w:rPr>
            </w:r>
          </w:p>
        </w:tc>
        <w:tc>
          <w:tcPr>
            <w:tcW w:w="2939"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b/>
                <w:b/>
              </w:rPr>
            </w:pPr>
            <w:r>
              <w:rPr>
                <w:rFonts w:ascii="Times New Roman" w:hAnsi="Times New Roman"/>
                <w:b/>
              </w:rPr>
            </w:r>
          </w:p>
        </w:tc>
        <w:tc>
          <w:tcPr>
            <w:tcW w:w="2730"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eastAsia="Calibri" w:cs="0" w:ascii="Times New Roman" w:hAnsi="Times New Roman"/>
                <w:bCs/>
                <w:sz w:val="22"/>
                <w:szCs w:val="22"/>
              </w:rPr>
              <w:t>Ordenador de Despesa</w:t>
            </w:r>
          </w:p>
        </w:tc>
      </w:tr>
      <w:tr>
        <w:trPr/>
        <w:tc>
          <w:tcPr>
            <w:tcW w:w="8494" w:type="dxa"/>
            <w:gridSpan w:val="3"/>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eastAsia="Calibri" w:cs="0" w:ascii="Times New Roman" w:hAnsi="Times New Roman"/>
                <w:b/>
                <w:sz w:val="22"/>
                <w:szCs w:val="22"/>
              </w:rPr>
              <w:t>TOTAL DE USUÁRIOS: 0</w:t>
            </w:r>
            <w:r>
              <w:rPr>
                <w:rFonts w:eastAsia="Calibri" w:cs="0" w:ascii="Times New Roman" w:hAnsi="Times New Roman"/>
                <w:b/>
                <w:sz w:val="22"/>
                <w:szCs w:val="22"/>
              </w:rPr>
              <w:t>3 (TRÊS</w:t>
            </w:r>
            <w:r>
              <w:rPr>
                <w:rFonts w:eastAsia="Calibri" w:cs="0" w:ascii="Times New Roman" w:hAnsi="Times New Roman"/>
                <w:b/>
                <w:sz w:val="22"/>
                <w:szCs w:val="22"/>
              </w:rPr>
              <w:t>).</w:t>
            </w:r>
          </w:p>
        </w:tc>
      </w:tr>
    </w:tbl>
    <w:p>
      <w:pPr>
        <w:pStyle w:val="ListParagraph"/>
        <w:widowControl w:val="false"/>
        <w:spacing w:lineRule="auto" w:line="276"/>
        <w:ind w:left="0" w:right="0" w:hanging="0"/>
        <w:rPr>
          <w:rFonts w:ascii="Times New Roman" w:hAnsi="Times New Roman"/>
          <w:b/>
          <w:b/>
        </w:rPr>
      </w:pPr>
      <w:r>
        <w:rPr>
          <w:rFonts w:ascii="Times New Roman" w:hAnsi="Times New Roman"/>
          <w:b/>
        </w:rPr>
      </w:r>
    </w:p>
    <w:p>
      <w:pPr>
        <w:pStyle w:val="ListParagraph"/>
        <w:numPr>
          <w:ilvl w:val="0"/>
          <w:numId w:val="0"/>
        </w:numPr>
        <w:spacing w:lineRule="auto" w:line="240" w:before="120" w:after="120"/>
        <w:ind w:left="0" w:hanging="0"/>
        <w:contextualSpacing/>
        <w:jc w:val="both"/>
        <w:rPr>
          <w:rFonts w:ascii="Times New Roman" w:hAnsi="Times New Roman"/>
        </w:rPr>
      </w:pPr>
      <w:r>
        <w:rPr>
          <w:rFonts w:ascii="Times New Roman" w:hAnsi="Times New Roman"/>
          <w:b/>
        </w:rPr>
        <w:t>4. VANTAGENS PARA A CÂMARA MUNICIPAL DE TRÊS PASSOS E RESULTADOS PRETENDIDOS</w:t>
      </w:r>
    </w:p>
    <w:p>
      <w:pPr>
        <w:pStyle w:val="ListParagraph"/>
        <w:spacing w:lineRule="auto" w:line="276"/>
        <w:ind w:left="0" w:right="0" w:hanging="0"/>
        <w:rPr>
          <w:rFonts w:ascii="Times New Roman" w:hAnsi="Times New Roman"/>
          <w:b/>
          <w:b/>
        </w:rPr>
      </w:pPr>
      <w:r>
        <w:rPr>
          <w:rFonts w:ascii="Times New Roman" w:hAnsi="Times New Roman"/>
          <w:b/>
        </w:rPr>
      </w:r>
    </w:p>
    <w:p>
      <w:pPr>
        <w:pStyle w:val="ListParagraph"/>
        <w:spacing w:lineRule="auto" w:line="276"/>
        <w:ind w:left="0" w:right="0" w:hanging="0"/>
        <w:jc w:val="both"/>
        <w:rPr>
          <w:rFonts w:ascii="Times New Roman" w:hAnsi="Times New Roman"/>
        </w:rPr>
      </w:pPr>
      <w:r>
        <w:rPr>
          <w:rFonts w:ascii="Times New Roman" w:hAnsi="Times New Roman"/>
        </w:rPr>
        <w:t>A vantagem vislumbrada  pela Câmara Municipal de  Vereadores de Três Passos será a utilização de sistema que não exija contraprestação financeira, ou seja, não haja dispêndio financeiro por parte do Poder Legislativo.</w:t>
      </w:r>
    </w:p>
    <w:p>
      <w:pPr>
        <w:pStyle w:val="ListParagraph"/>
        <w:spacing w:lineRule="auto" w:line="276"/>
        <w:ind w:left="0" w:right="0" w:hanging="0"/>
        <w:jc w:val="both"/>
        <w:rPr>
          <w:rFonts w:ascii="Times New Roman" w:hAnsi="Times New Roman"/>
        </w:rPr>
      </w:pPr>
      <w:r>
        <w:rPr>
          <w:rFonts w:ascii="Times New Roman" w:hAnsi="Times New Roman"/>
        </w:rPr>
      </w:r>
    </w:p>
    <w:p>
      <w:pPr>
        <w:pStyle w:val="ListParagraph"/>
        <w:spacing w:lineRule="auto" w:line="276"/>
        <w:ind w:left="0" w:right="0" w:hanging="0"/>
        <w:jc w:val="both"/>
        <w:rPr>
          <w:rFonts w:ascii="Times New Roman" w:hAnsi="Times New Roman"/>
        </w:rPr>
      </w:pPr>
      <w:r>
        <w:rPr>
          <w:rFonts w:ascii="Times New Roman" w:hAnsi="Times New Roman"/>
        </w:rPr>
        <w:t>Por outro lado, o valor cobrado dos fornecedores é acessível e compatível com o mercado</w:t>
      </w:r>
      <w:r>
        <w:rPr>
          <w:rStyle w:val="Ncoradanotaderodap"/>
          <w:rFonts w:ascii="Times New Roman" w:hAnsi="Times New Roman"/>
          <w:vertAlign w:val="superscript"/>
        </w:rPr>
        <w:footnoteReference w:id="2"/>
      </w:r>
      <w:r>
        <w:rPr>
          <w:rFonts w:ascii="Times New Roman" w:hAnsi="Times New Roman"/>
        </w:rPr>
        <w:t xml:space="preserve">, considerando que não está relacionado com o número de procedimentos em andamento no sistema, mas refere-se aos custos com a ferramenta de segurança, disponibilização de </w:t>
      </w:r>
      <w:r>
        <w:rPr>
          <w:rFonts w:ascii="Times New Roman" w:hAnsi="Times New Roman"/>
          <w:i/>
          <w:iCs/>
        </w:rPr>
        <w:t>link de internet</w:t>
      </w:r>
      <w:r>
        <w:rPr>
          <w:rFonts w:ascii="Times New Roman" w:hAnsi="Times New Roman"/>
        </w:rPr>
        <w:t xml:space="preserve"> e custos do </w:t>
      </w:r>
      <w:r>
        <w:rPr>
          <w:rFonts w:ascii="Times New Roman" w:hAnsi="Times New Roman"/>
          <w:i/>
          <w:iCs/>
        </w:rPr>
        <w:t>datacenter</w:t>
      </w:r>
      <w:r>
        <w:rPr>
          <w:rFonts w:ascii="Times New Roman" w:hAnsi="Times New Roman"/>
        </w:rPr>
        <w:t xml:space="preserve"> – armazenamento de todos os dados, inclusive de licitações já encerradas, que são inerentes ao funcionamento da plataforma. A cobrança do valor não representa tarifação do serviço, mas apenas o ressarcimento de parte dos custos gerados pelos fornecedores, sendo que os valores recebidos são revertidos diretamente na manutenção e melhoria do Portal de Compras Públicas.</w:t>
      </w:r>
    </w:p>
    <w:p>
      <w:pPr>
        <w:pStyle w:val="ListParagraph"/>
        <w:spacing w:lineRule="auto" w:line="276"/>
        <w:ind w:left="0" w:right="0" w:hanging="0"/>
        <w:jc w:val="both"/>
        <w:rPr>
          <w:rFonts w:ascii="Times New Roman" w:hAnsi="Times New Roman"/>
        </w:rPr>
      </w:pPr>
      <w:r>
        <w:rPr>
          <w:rFonts w:ascii="Times New Roman" w:hAnsi="Times New Roman"/>
        </w:rPr>
      </w:r>
    </w:p>
    <w:p>
      <w:pPr>
        <w:pStyle w:val="ListParagraph"/>
        <w:spacing w:lineRule="auto" w:line="276"/>
        <w:ind w:left="0" w:right="0" w:hanging="0"/>
        <w:jc w:val="both"/>
        <w:rPr>
          <w:rFonts w:ascii="Times New Roman" w:hAnsi="Times New Roman"/>
        </w:rPr>
      </w:pPr>
      <w:r>
        <w:rPr>
          <w:rFonts w:ascii="Times New Roman" w:hAnsi="Times New Roman"/>
        </w:rPr>
        <w:t>O resultado a ser alcançado é o aumento da eficiência nas compras públicas, sem dispêndio financeiro para o Poder Legislativo e com a satisfação de fornecedores, além da obtenção de economicidade nas contratações realizadas por esse órgão.</w:t>
      </w:r>
    </w:p>
    <w:p>
      <w:pPr>
        <w:pStyle w:val="ListParagraph"/>
        <w:spacing w:lineRule="auto" w:line="276"/>
        <w:ind w:left="0" w:right="0" w:hanging="0"/>
        <w:jc w:val="both"/>
        <w:rPr>
          <w:rFonts w:ascii="Times New Roman" w:hAnsi="Times New Roman"/>
        </w:rPr>
      </w:pPr>
      <w:r>
        <w:rPr>
          <w:rFonts w:ascii="Times New Roman" w:hAnsi="Times New Roman"/>
        </w:rPr>
      </w:r>
    </w:p>
    <w:p>
      <w:pPr>
        <w:pStyle w:val="ListParagraph"/>
        <w:spacing w:lineRule="auto" w:line="276"/>
        <w:ind w:left="0" w:right="0" w:hanging="0"/>
        <w:jc w:val="both"/>
        <w:rPr>
          <w:rFonts w:ascii="Times New Roman" w:hAnsi="Times New Roman"/>
        </w:rPr>
      </w:pPr>
      <w:r>
        <w:rPr>
          <w:rFonts w:ascii="Times New Roman" w:hAnsi="Times New Roman"/>
        </w:rPr>
        <w:t>Pretende-se com a contratação do sistema e dos serviços complementares, a customização de módulos específicos de acordo com a demanda deste Poder Legislativo, no intuito de compatibilizar a estrutura existente com o sistema a ser utilizado.</w:t>
      </w:r>
    </w:p>
    <w:p>
      <w:pPr>
        <w:pStyle w:val="ListParagraph"/>
        <w:spacing w:lineRule="auto" w:line="276"/>
        <w:ind w:left="0" w:right="0" w:hanging="0"/>
        <w:jc w:val="both"/>
        <w:rPr>
          <w:rFonts w:ascii="Times New Roman" w:hAnsi="Times New Roman"/>
        </w:rPr>
      </w:pPr>
      <w:r>
        <w:rPr>
          <w:rFonts w:ascii="Times New Roman" w:hAnsi="Times New Roman"/>
        </w:rPr>
      </w:r>
    </w:p>
    <w:p>
      <w:pPr>
        <w:pStyle w:val="ListParagraph"/>
        <w:spacing w:lineRule="auto" w:line="276"/>
        <w:ind w:left="0" w:right="0" w:hanging="0"/>
        <w:jc w:val="both"/>
        <w:rPr>
          <w:rFonts w:ascii="Times New Roman" w:hAnsi="Times New Roman"/>
        </w:rPr>
      </w:pPr>
      <w:r>
        <w:rPr>
          <w:rFonts w:ascii="Times New Roman" w:hAnsi="Times New Roman"/>
        </w:rPr>
        <w:t>A padronização dos procedimentos, de acordo com a legislação de regência, a unificação de banco de dados, a fácil interface do sistema e a segurança da informação, são pontos fundamentais que devem constar no sistema.</w:t>
      </w:r>
    </w:p>
    <w:p>
      <w:pPr>
        <w:pStyle w:val="ListParagraph"/>
        <w:spacing w:lineRule="auto" w:line="276"/>
        <w:ind w:left="0" w:right="0" w:hanging="0"/>
        <w:jc w:val="both"/>
        <w:rPr>
          <w:rFonts w:ascii="Times New Roman" w:hAnsi="Times New Roman"/>
        </w:rPr>
      </w:pPr>
      <w:r>
        <w:rPr>
          <w:rFonts w:ascii="Times New Roman" w:hAnsi="Times New Roman"/>
        </w:rPr>
      </w:r>
    </w:p>
    <w:p>
      <w:pPr>
        <w:pStyle w:val="ListParagraph"/>
        <w:spacing w:lineRule="auto" w:line="276"/>
        <w:ind w:left="0" w:right="0" w:hanging="0"/>
        <w:jc w:val="both"/>
        <w:rPr>
          <w:rFonts w:ascii="Times New Roman" w:hAnsi="Times New Roman"/>
        </w:rPr>
      </w:pPr>
      <w:r>
        <w:rPr>
          <w:rFonts w:ascii="Times New Roman" w:hAnsi="Times New Roman"/>
        </w:rPr>
        <w:t xml:space="preserve">A eficiência nos procedimentos, a redução de custos e o aumento da competitividade nos certames são resultados pretendidos com a contratação do sistema. </w:t>
      </w:r>
    </w:p>
    <w:p>
      <w:pPr>
        <w:pStyle w:val="ListParagraph"/>
        <w:spacing w:lineRule="auto" w:line="276"/>
        <w:ind w:left="0" w:right="0" w:hanging="0"/>
        <w:rPr>
          <w:rFonts w:ascii="Times New Roman" w:hAnsi="Times New Roman"/>
          <w:b/>
          <w:b/>
        </w:rPr>
      </w:pPr>
      <w:r>
        <w:rPr>
          <w:rFonts w:ascii="Times New Roman" w:hAnsi="Times New Roman"/>
          <w:b/>
        </w:rPr>
      </w:r>
    </w:p>
    <w:p>
      <w:pPr>
        <w:pStyle w:val="ListParagraph"/>
        <w:numPr>
          <w:ilvl w:val="0"/>
          <w:numId w:val="0"/>
        </w:numPr>
        <w:spacing w:lineRule="auto" w:line="276"/>
        <w:ind w:left="0" w:hanging="0"/>
        <w:rPr>
          <w:rFonts w:ascii="Times New Roman" w:hAnsi="Times New Roman"/>
        </w:rPr>
      </w:pPr>
      <w:r>
        <w:rPr>
          <w:rFonts w:ascii="Times New Roman" w:hAnsi="Times New Roman"/>
          <w:b/>
        </w:rPr>
        <w:t>4.1.Análise dos outros sistemas disponíveis:</w:t>
      </w:r>
    </w:p>
    <w:p>
      <w:pPr>
        <w:pStyle w:val="Normal"/>
        <w:spacing w:lineRule="auto" w:line="276" w:before="120" w:after="120"/>
        <w:jc w:val="both"/>
        <w:rPr>
          <w:rFonts w:ascii="Times New Roman" w:hAnsi="Times New Roman"/>
        </w:rPr>
      </w:pPr>
      <w:r>
        <w:rPr>
          <w:rFonts w:eastAsia="Times New Roman" w:cs="Calibri"/>
        </w:rPr>
        <w:t>Existem diversos portais de compras, públicos e privados, para a realização de licitações eletrônicas. Entre eles, podem ser citados o Portal de Compras do Governo Federal, Portal de Compras do Banco do Brasil – Licitações-e, Portal de Compras da Caixa Econômica Federal – Licitações Caixa, Portal de Compras Públicas, entre outros.</w:t>
      </w:r>
    </w:p>
    <w:p>
      <w:pPr>
        <w:pStyle w:val="PEAnormal"/>
        <w:widowControl/>
        <w:spacing w:lineRule="auto" w:line="240" w:before="0" w:after="0"/>
        <w:ind w:left="0" w:right="0" w:hanging="0"/>
        <w:rPr>
          <w:rFonts w:ascii="Times New Roman" w:hAnsi="Times New Roman" w:cs="Calibri"/>
          <w:sz w:val="22"/>
          <w:szCs w:val="22"/>
          <w:shd w:fill="FFFFFF" w:val="clear"/>
        </w:rPr>
      </w:pPr>
      <w:r>
        <w:rPr>
          <w:rFonts w:cs="Calibri"/>
          <w:sz w:val="22"/>
          <w:szCs w:val="22"/>
          <w:shd w:fill="FFFFFF" w:val="clear"/>
        </w:rPr>
      </w:r>
    </w:p>
    <w:p>
      <w:pPr>
        <w:pStyle w:val="PEAnormal"/>
        <w:widowControl/>
        <w:spacing w:lineRule="auto" w:line="240" w:before="0" w:after="0"/>
        <w:ind w:left="0" w:right="0" w:hanging="0"/>
        <w:rPr>
          <w:rFonts w:ascii="Times New Roman" w:hAnsi="Times New Roman"/>
        </w:rPr>
      </w:pPr>
      <w:r>
        <w:rPr>
          <w:rFonts w:cs="Calibri"/>
          <w:sz w:val="22"/>
          <w:szCs w:val="22"/>
          <w:shd w:fill="FFFFFF" w:val="clear"/>
        </w:rPr>
        <w:t>Os certames eletrônicos realizados no Portal de Compras Públicas seguem os mesmos trâmites dispostos nos sítios de compras governamentais.</w:t>
      </w:r>
    </w:p>
    <w:p>
      <w:pPr>
        <w:pStyle w:val="PEAnormal"/>
        <w:widowControl/>
        <w:spacing w:lineRule="auto" w:line="240" w:before="0" w:after="0"/>
        <w:ind w:left="0" w:right="0" w:hanging="0"/>
        <w:rPr>
          <w:rFonts w:ascii="Times New Roman" w:hAnsi="Times New Roman" w:cs="Calibri"/>
          <w:sz w:val="22"/>
          <w:szCs w:val="22"/>
          <w:shd w:fill="FFFFFF" w:val="clear"/>
        </w:rPr>
      </w:pPr>
      <w:r>
        <w:rPr>
          <w:rFonts w:cs="Calibri"/>
          <w:sz w:val="22"/>
          <w:szCs w:val="22"/>
          <w:shd w:fill="FFFFFF" w:val="clear"/>
        </w:rPr>
      </w:r>
    </w:p>
    <w:p>
      <w:pPr>
        <w:pStyle w:val="Normal"/>
        <w:spacing w:lineRule="auto" w:line="276" w:before="0" w:after="0"/>
        <w:jc w:val="both"/>
        <w:rPr/>
      </w:pPr>
      <w:r>
        <w:rPr>
          <w:rFonts w:eastAsia="Times New Roman"/>
        </w:rPr>
        <w:t>Não existe imposição legal para que os Estados, Municípios e Distrito Federal, mesmo recebendo recursos federais, façam uso obrigatório de algum portal específico.</w:t>
      </w:r>
      <w:r>
        <w:rPr>
          <w:rStyle w:val="Ncoradanotaderodap"/>
          <w:rFonts w:eastAsia="Times New Roman"/>
          <w:vertAlign w:val="superscript"/>
        </w:rPr>
        <w:footnoteReference w:id="3"/>
      </w:r>
      <w:r>
        <w:rPr>
          <w:rStyle w:val="FootnoteCharacters"/>
          <w:rFonts w:eastAsia="Times New Roman"/>
          <w:sz w:val="26"/>
          <w:szCs w:val="26"/>
          <w:vertAlign w:val="superscript"/>
        </w:rPr>
        <w:t xml:space="preserve"> Pelo contrário, o §1º do art. 175 da Lei nº 14.133/2021 expressamente prevê que </w:t>
      </w:r>
      <w:r>
        <w:rPr>
          <w:rStyle w:val="FootnoteCharacters"/>
          <w:rFonts w:eastAsia="Times New Roman"/>
          <w:sz w:val="24"/>
          <w:szCs w:val="24"/>
          <w:vertAlign w:val="superscript"/>
        </w:rPr>
        <w:t>“</w:t>
      </w:r>
      <w:r>
        <w:rPr>
          <w:rFonts w:eastAsia="Arial"/>
          <w:color w:val="000000"/>
          <w:sz w:val="24"/>
          <w:szCs w:val="24"/>
        </w:rPr>
        <w:t>mantida a integração com o PNCP, as contratações poderão ser realizadas por meio de sistema eletrônico fornecido por pessoa jurídica de direito privado, na forma de regulamento”.</w:t>
      </w:r>
    </w:p>
    <w:p>
      <w:pPr>
        <w:pStyle w:val="PEAnormal"/>
        <w:widowControl/>
        <w:spacing w:lineRule="auto" w:line="276" w:before="0" w:after="0"/>
        <w:ind w:left="0" w:right="0" w:hanging="0"/>
        <w:rPr>
          <w:rFonts w:ascii="Times New Roman" w:hAnsi="Times New Roman" w:cs="Calibri"/>
          <w:sz w:val="22"/>
          <w:szCs w:val="22"/>
          <w:shd w:fill="FFFFFF" w:val="clear"/>
        </w:rPr>
      </w:pPr>
      <w:r>
        <w:rPr>
          <w:rFonts w:cs="Calibri"/>
          <w:sz w:val="22"/>
          <w:szCs w:val="22"/>
          <w:shd w:fill="FFFFFF" w:val="clear"/>
        </w:rPr>
      </w:r>
    </w:p>
    <w:p>
      <w:pPr>
        <w:pStyle w:val="PEAnormal"/>
        <w:widowControl/>
        <w:spacing w:lineRule="auto" w:line="276" w:before="0" w:after="0"/>
        <w:ind w:left="0" w:right="0" w:hanging="0"/>
        <w:rPr>
          <w:rFonts w:ascii="Times New Roman" w:hAnsi="Times New Roman"/>
        </w:rPr>
      </w:pPr>
      <w:r>
        <w:rPr>
          <w:rFonts w:cs="0"/>
          <w:sz w:val="22"/>
          <w:szCs w:val="22"/>
        </w:rPr>
        <w:t>Diversos portais eletrônicos que fornecem ferramentas para a operacionalização de licitações eletrônicas acabam por cobrar algum valor dos licitantes que os utilizam, com o intuito de ressarcir os custos arcados com a disponibilização da tecnologia da informação. Entre os portais mais conhecidos que efetuam a cobrança estão o Licitações-e</w:t>
      </w:r>
      <w:r>
        <w:rPr>
          <w:rStyle w:val="Ncoradanotaderodap"/>
          <w:rFonts w:cs="0"/>
          <w:sz w:val="22"/>
          <w:szCs w:val="22"/>
          <w:shd w:fill="FFFFFF" w:val="clear"/>
          <w:vertAlign w:val="superscript"/>
        </w:rPr>
        <w:footnoteReference w:id="4"/>
      </w:r>
      <w:r>
        <w:rPr>
          <w:rFonts w:cs="0"/>
          <w:sz w:val="22"/>
          <w:szCs w:val="22"/>
        </w:rPr>
        <w:t>, o Banrisul e o Portal de Compras Públicas.</w:t>
      </w:r>
    </w:p>
    <w:p>
      <w:pPr>
        <w:pStyle w:val="Normal"/>
        <w:spacing w:lineRule="auto" w:line="276"/>
        <w:rPr>
          <w:rFonts w:ascii="Times New Roman" w:hAnsi="Times New Roman"/>
          <w:b/>
          <w:b/>
          <w:bCs/>
        </w:rPr>
      </w:pPr>
      <w:r>
        <w:rPr>
          <w:b/>
          <w:bCs/>
        </w:rPr>
      </w:r>
    </w:p>
    <w:p>
      <w:pPr>
        <w:pStyle w:val="ListParagraph"/>
        <w:numPr>
          <w:ilvl w:val="0"/>
          <w:numId w:val="0"/>
        </w:numPr>
        <w:spacing w:lineRule="auto" w:line="240" w:before="120" w:after="120"/>
        <w:ind w:left="0" w:hanging="0"/>
        <w:contextualSpacing/>
        <w:jc w:val="both"/>
        <w:rPr>
          <w:rFonts w:ascii="Times New Roman" w:hAnsi="Times New Roman"/>
        </w:rPr>
      </w:pPr>
      <w:r>
        <w:rPr>
          <w:rFonts w:ascii="Times New Roman" w:hAnsi="Times New Roman"/>
          <w:b/>
        </w:rPr>
        <w:t>5. CRITÉRIOS DE CONTROLE E REGISTROS A SEREM ADOTADOS</w:t>
      </w:r>
    </w:p>
    <w:p>
      <w:pPr>
        <w:pStyle w:val="ListParagraph"/>
        <w:spacing w:lineRule="auto" w:line="276"/>
        <w:ind w:left="0" w:right="0" w:hanging="0"/>
        <w:rPr>
          <w:rFonts w:ascii="Times New Roman" w:hAnsi="Times New Roman"/>
          <w:b/>
          <w:b/>
        </w:rPr>
      </w:pPr>
      <w:r>
        <w:rPr>
          <w:rFonts w:ascii="Times New Roman" w:hAnsi="Times New Roman"/>
          <w:b/>
        </w:rPr>
      </w:r>
    </w:p>
    <w:p>
      <w:pPr>
        <w:pStyle w:val="ListParagraph"/>
        <w:spacing w:lineRule="auto" w:line="276"/>
        <w:ind w:left="0" w:right="0" w:hanging="0"/>
        <w:jc w:val="both"/>
        <w:rPr>
          <w:rFonts w:ascii="Times New Roman" w:hAnsi="Times New Roman"/>
        </w:rPr>
      </w:pPr>
      <w:r>
        <w:rPr>
          <w:rFonts w:ascii="Times New Roman" w:hAnsi="Times New Roman"/>
        </w:rPr>
        <w:t>Nos termos do art. 117 da Lei 14.133/2021, será designado representante para acompanhar e fiscalizar a execução do serviço, anotando e determinando o que for necessário à regularização de falhas ou defeitos observados. A designação do fiscal deverá observar:</w:t>
      </w:r>
    </w:p>
    <w:p>
      <w:pPr>
        <w:pStyle w:val="ListParagraph"/>
        <w:spacing w:lineRule="auto" w:line="276"/>
        <w:ind w:left="0" w:right="0" w:hanging="0"/>
        <w:jc w:val="both"/>
        <w:rPr>
          <w:rFonts w:ascii="Times New Roman" w:hAnsi="Times New Roman"/>
        </w:rPr>
      </w:pPr>
      <w:r>
        <w:rPr>
          <w:rFonts w:ascii="Times New Roman" w:hAnsi="Times New Roman"/>
        </w:rPr>
      </w:r>
    </w:p>
    <w:p>
      <w:pPr>
        <w:pStyle w:val="ListParagraph"/>
        <w:numPr>
          <w:ilvl w:val="0"/>
          <w:numId w:val="11"/>
        </w:numPr>
        <w:spacing w:lineRule="auto" w:line="276"/>
        <w:jc w:val="both"/>
        <w:rPr>
          <w:rFonts w:ascii="Times New Roman" w:hAnsi="Times New Roman"/>
        </w:rPr>
      </w:pPr>
      <w:r>
        <w:rPr>
          <w:rFonts w:ascii="Times New Roman" w:hAnsi="Times New Roman"/>
        </w:rPr>
        <w:t>Conhecimento técnico necessário (Acórdão nº 785/2014 – TCU – Plenário);</w:t>
      </w:r>
    </w:p>
    <w:p>
      <w:pPr>
        <w:pStyle w:val="ListParagraph"/>
        <w:numPr>
          <w:ilvl w:val="0"/>
          <w:numId w:val="11"/>
        </w:numPr>
        <w:spacing w:lineRule="auto" w:line="276"/>
        <w:jc w:val="both"/>
        <w:rPr>
          <w:rFonts w:ascii="Times New Roman" w:hAnsi="Times New Roman"/>
        </w:rPr>
      </w:pPr>
      <w:r>
        <w:rPr>
          <w:rFonts w:ascii="Times New Roman" w:hAnsi="Times New Roman"/>
        </w:rPr>
        <w:t>Compatibilidade desta demanda com a disponibilidade do servidor (Acórdão nº 2340/2016 – TCU – Plenário.</w:t>
      </w:r>
    </w:p>
    <w:p>
      <w:pPr>
        <w:pStyle w:val="ListParagraph"/>
        <w:spacing w:lineRule="auto" w:line="276"/>
        <w:ind w:left="0" w:right="0" w:hanging="0"/>
        <w:jc w:val="both"/>
        <w:rPr>
          <w:rFonts w:ascii="Times New Roman" w:hAnsi="Times New Roman"/>
        </w:rPr>
      </w:pPr>
      <w:r>
        <w:rPr>
          <w:rFonts w:ascii="Times New Roman" w:hAnsi="Times New Roman"/>
        </w:rPr>
      </w:r>
    </w:p>
    <w:p>
      <w:pPr>
        <w:pStyle w:val="ListParagraph"/>
        <w:spacing w:lineRule="auto" w:line="276"/>
        <w:ind w:left="0" w:right="0" w:hanging="0"/>
        <w:jc w:val="both"/>
        <w:rPr>
          <w:rFonts w:ascii="Times New Roman" w:hAnsi="Times New Roman"/>
        </w:rPr>
      </w:pPr>
      <w:r>
        <w:rPr>
          <w:rFonts w:ascii="Times New Roman" w:hAnsi="Times New Roman"/>
        </w:rPr>
        <w:t>O representante do Poder Legislativo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ListParagraph"/>
        <w:spacing w:lineRule="auto" w:line="276"/>
        <w:ind w:left="0" w:right="0" w:hanging="0"/>
        <w:jc w:val="both"/>
        <w:rPr>
          <w:rFonts w:ascii="Times New Roman" w:hAnsi="Times New Roman"/>
        </w:rPr>
      </w:pPr>
      <w:r>
        <w:rPr>
          <w:rFonts w:ascii="Times New Roman" w:hAnsi="Times New Roman"/>
        </w:rPr>
      </w:r>
    </w:p>
    <w:p>
      <w:pPr>
        <w:pStyle w:val="ListParagraph"/>
        <w:spacing w:lineRule="auto" w:line="276"/>
        <w:ind w:left="0" w:right="0" w:hanging="0"/>
        <w:jc w:val="both"/>
        <w:rPr>
          <w:rFonts w:ascii="Times New Roman" w:hAnsi="Times New Roman"/>
        </w:rPr>
      </w:pPr>
      <w:r>
        <w:rPr>
          <w:rFonts w:ascii="Times New Roman" w:hAnsi="Times New Roman"/>
        </w:rPr>
        <w:t xml:space="preserve">O (a)  responsável pela fiscalização e gestão, será: </w:t>
      </w:r>
    </w:p>
    <w:p>
      <w:pPr>
        <w:pStyle w:val="ListParagraph"/>
        <w:spacing w:lineRule="auto" w:line="276"/>
        <w:ind w:left="0" w:right="0" w:hanging="0"/>
        <w:jc w:val="both"/>
        <w:rPr>
          <w:rFonts w:ascii="Times New Roman" w:hAnsi="Times New Roman"/>
          <w:u w:val="single"/>
        </w:rPr>
      </w:pPr>
      <w:r>
        <w:rPr>
          <w:rFonts w:ascii="Times New Roman" w:hAnsi="Times New Roman"/>
          <w:u w:val="single"/>
        </w:rPr>
      </w:r>
    </w:p>
    <w:p>
      <w:pPr>
        <w:pStyle w:val="ListParagraph"/>
        <w:spacing w:lineRule="auto" w:line="276"/>
        <w:ind w:left="0" w:right="0" w:hanging="0"/>
        <w:jc w:val="both"/>
        <w:rPr>
          <w:rFonts w:ascii="Times New Roman" w:hAnsi="Times New Roman"/>
        </w:rPr>
      </w:pPr>
      <w:r>
        <w:rPr>
          <w:rFonts w:ascii="Times New Roman" w:hAnsi="Times New Roman"/>
        </w:rPr>
        <w:t xml:space="preserve"> </w:t>
      </w:r>
      <w:r>
        <w:rPr>
          <w:rFonts w:ascii="Times New Roman" w:hAnsi="Times New Roman"/>
        </w:rPr>
        <w:t>(Andrieli Camila Hepp), (Assi</w:t>
      </w:r>
      <w:r>
        <w:rPr>
          <w:rFonts w:ascii="Times New Roman" w:hAnsi="Times New Roman"/>
        </w:rPr>
        <w:t>s</w:t>
      </w:r>
      <w:r>
        <w:rPr>
          <w:rFonts w:ascii="Times New Roman" w:hAnsi="Times New Roman"/>
        </w:rPr>
        <w:t>tente Administrativa).</w:t>
      </w:r>
    </w:p>
    <w:p>
      <w:pPr>
        <w:pStyle w:val="ListParagraph"/>
        <w:spacing w:lineRule="auto" w:line="276"/>
        <w:ind w:left="0" w:right="0" w:hanging="0"/>
        <w:jc w:val="both"/>
        <w:rPr>
          <w:rFonts w:ascii="Times New Roman" w:hAnsi="Times New Roman"/>
        </w:rPr>
      </w:pPr>
      <w:r>
        <w:rPr>
          <w:rFonts w:ascii="Times New Roman" w:hAnsi="Times New Roman"/>
        </w:rPr>
      </w:r>
    </w:p>
    <w:p>
      <w:pPr>
        <w:pStyle w:val="ListParagraph"/>
        <w:spacing w:lineRule="auto" w:line="276"/>
        <w:ind w:left="0" w:right="0" w:hanging="0"/>
        <w:jc w:val="both"/>
        <w:rPr>
          <w:rFonts w:ascii="Times New Roman" w:hAnsi="Times New Roman"/>
        </w:rPr>
      </w:pPr>
      <w:r>
        <w:rPr>
          <w:rFonts w:ascii="Times New Roman" w:hAnsi="Times New Roman"/>
        </w:rPr>
      </w:r>
    </w:p>
    <w:p>
      <w:pPr>
        <w:pStyle w:val="ListParagraph"/>
        <w:spacing w:lineRule="auto" w:line="276"/>
        <w:ind w:left="0" w:right="0" w:hanging="0"/>
        <w:jc w:val="both"/>
        <w:rPr>
          <w:rFonts w:ascii="Times New Roman" w:hAnsi="Times New Roman"/>
        </w:rPr>
      </w:pPr>
      <w:r>
        <w:rPr>
          <w:rFonts w:ascii="Times New Roman" w:hAnsi="Times New Roman"/>
        </w:rPr>
      </w:r>
    </w:p>
    <w:p>
      <w:pPr>
        <w:pStyle w:val="ListParagraph"/>
        <w:spacing w:lineRule="auto" w:line="276"/>
        <w:ind w:left="0" w:right="0" w:hanging="0"/>
        <w:jc w:val="both"/>
        <w:rPr>
          <w:rFonts w:ascii="Times New Roman" w:hAnsi="Times New Roman"/>
        </w:rPr>
      </w:pPr>
      <w:r>
        <w:rPr>
          <w:rFonts w:ascii="Times New Roman" w:hAnsi="Times New Roman"/>
        </w:rPr>
      </w:r>
    </w:p>
    <w:p>
      <w:pPr>
        <w:pStyle w:val="ListParagraph"/>
        <w:spacing w:lineRule="auto" w:line="276"/>
        <w:ind w:left="2061" w:right="0" w:hanging="0"/>
        <w:jc w:val="center"/>
        <w:rPr>
          <w:rFonts w:ascii="Times New Roman" w:hAnsi="Times New Roman"/>
        </w:rPr>
      </w:pPr>
      <w:r>
        <w:rPr>
          <w:rFonts w:ascii="Times New Roman" w:hAnsi="Times New Roman"/>
        </w:rPr>
        <w:t>Três Passos-RS, 21  de  novembro de 2024.</w:t>
      </w:r>
    </w:p>
    <w:p>
      <w:pPr>
        <w:pStyle w:val="ListParagraph"/>
        <w:spacing w:lineRule="auto" w:line="276"/>
        <w:ind w:left="2061" w:right="0" w:hanging="0"/>
        <w:jc w:val="center"/>
        <w:rPr>
          <w:rFonts w:ascii="Times New Roman" w:hAnsi="Times New Roman"/>
        </w:rPr>
      </w:pPr>
      <w:r>
        <w:rPr>
          <w:rFonts w:ascii="Times New Roman" w:hAnsi="Times New Roman"/>
        </w:rPr>
      </w:r>
    </w:p>
    <w:p>
      <w:pPr>
        <w:pStyle w:val="ListParagraph"/>
        <w:spacing w:lineRule="auto" w:line="276"/>
        <w:ind w:left="2061" w:right="0" w:hanging="0"/>
        <w:jc w:val="center"/>
        <w:rPr>
          <w:rFonts w:ascii="Times New Roman" w:hAnsi="Times New Roman"/>
        </w:rPr>
      </w:pPr>
      <w:r>
        <w:rPr>
          <w:rFonts w:ascii="Times New Roman" w:hAnsi="Times New Roman"/>
        </w:rPr>
      </w:r>
    </w:p>
    <w:p>
      <w:pPr>
        <w:pStyle w:val="ListParagraph"/>
        <w:spacing w:lineRule="auto" w:line="276"/>
        <w:ind w:left="0" w:right="0" w:hanging="0"/>
        <w:rPr>
          <w:rFonts w:ascii="Times New Roman" w:hAnsi="Times New Roman"/>
        </w:rPr>
      </w:pPr>
      <w:r>
        <w:rPr>
          <w:rFonts w:ascii="Times New Roman" w:hAnsi="Times New Roman"/>
        </w:rPr>
        <w:t>De acordo:</w:t>
      </w:r>
    </w:p>
    <w:p>
      <w:pPr>
        <w:pStyle w:val="ListParagraph"/>
        <w:spacing w:lineRule="auto" w:line="276"/>
        <w:ind w:left="2061" w:right="0" w:hanging="0"/>
        <w:jc w:val="center"/>
        <w:rPr>
          <w:rFonts w:ascii="Times New Roman" w:hAnsi="Times New Roman"/>
        </w:rPr>
      </w:pPr>
      <w:r>
        <w:rPr>
          <w:rFonts w:ascii="Times New Roman" w:hAnsi="Times New Roman"/>
        </w:rPr>
      </w:r>
    </w:p>
    <w:p>
      <w:pPr>
        <w:pStyle w:val="ListParagraph"/>
        <w:spacing w:lineRule="auto" w:line="276"/>
        <w:ind w:left="2061" w:right="0" w:hanging="0"/>
        <w:jc w:val="center"/>
        <w:rPr>
          <w:rFonts w:ascii="Times New Roman" w:hAnsi="Times New Roman"/>
        </w:rPr>
      </w:pPr>
      <w:r>
        <w:rPr>
          <w:rFonts w:ascii="Times New Roman" w:hAnsi="Times New Roman"/>
        </w:rPr>
      </w:r>
    </w:p>
    <w:p>
      <w:pPr>
        <w:pStyle w:val="ListParagraph"/>
        <w:spacing w:lineRule="auto" w:line="276"/>
        <w:ind w:left="2061" w:right="0" w:hanging="0"/>
        <w:jc w:val="center"/>
        <w:rPr>
          <w:rFonts w:ascii="Times New Roman" w:hAnsi="Times New Roman"/>
        </w:rPr>
      </w:pPr>
      <w:r>
        <w:rPr>
          <w:rFonts w:ascii="Times New Roman" w:hAnsi="Times New Roman"/>
        </w:rPr>
        <w:t>Edivan Nelsi Baron</w:t>
        <w:br/>
        <w:t>Vice-Presidente no exercício da Presidência</w:t>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before="0" w:after="0"/>
        <w:jc w:val="both"/>
        <w:rPr>
          <w:rFonts w:ascii="Times New Roman" w:hAnsi="Times New Roman"/>
        </w:rPr>
      </w:pPr>
      <w:r>
        <w:rPr/>
      </w:r>
    </w:p>
    <w:p>
      <w:pPr>
        <w:pStyle w:val="Normal"/>
        <w:spacing w:lineRule="auto" w:line="276"/>
        <w:jc w:val="center"/>
        <w:rPr>
          <w:rFonts w:ascii="Times New Roman" w:hAnsi="Times New Roman"/>
        </w:rPr>
      </w:pPr>
      <w:r>
        <w:rPr>
          <w:rFonts w:cs="Times New Roman"/>
          <w:b/>
          <w:szCs w:val="28"/>
        </w:rPr>
        <w:t>TERMO DE REFERÊNCIA N° 20/2024</w:t>
      </w:r>
    </w:p>
    <w:p>
      <w:pPr>
        <w:pStyle w:val="Normal"/>
        <w:spacing w:lineRule="auto" w:line="276" w:before="0" w:after="0"/>
        <w:jc w:val="center"/>
        <w:rPr>
          <w:rFonts w:ascii="Times New Roman" w:hAnsi="Times New Roman" w:cs="Times New Roman"/>
          <w:szCs w:val="28"/>
        </w:rPr>
      </w:pPr>
      <w:r>
        <w:rPr>
          <w:rFonts w:cs="Times New Roman"/>
          <w:szCs w:val="28"/>
        </w:rPr>
      </w:r>
    </w:p>
    <w:p>
      <w:pPr>
        <w:pStyle w:val="Normal"/>
        <w:spacing w:lineRule="auto" w:line="276" w:before="0" w:after="0"/>
        <w:rPr>
          <w:rFonts w:ascii="Times New Roman" w:hAnsi="Times New Roman" w:cs="Times New Roman"/>
          <w:szCs w:val="28"/>
        </w:rPr>
      </w:pPr>
      <w:r>
        <w:rPr>
          <w:rFonts w:cs="Times New Roman"/>
          <w:szCs w:val="28"/>
        </w:rPr>
      </w:r>
    </w:p>
    <w:p>
      <w:pPr>
        <w:pStyle w:val="ListParagraph"/>
        <w:numPr>
          <w:ilvl w:val="0"/>
          <w:numId w:val="3"/>
        </w:numPr>
        <w:spacing w:lineRule="auto" w:line="240" w:before="0" w:after="0"/>
        <w:contextualSpacing/>
        <w:rPr>
          <w:rFonts w:ascii="Times New Roman" w:hAnsi="Times New Roman"/>
        </w:rPr>
      </w:pPr>
      <w:r>
        <w:rPr>
          <w:rFonts w:cs="Times New Roman" w:ascii="Times New Roman" w:hAnsi="Times New Roman"/>
          <w:b/>
          <w:szCs w:val="28"/>
        </w:rPr>
        <w:t>DO OBJETO</w:t>
      </w:r>
    </w:p>
    <w:p>
      <w:pPr>
        <w:pStyle w:val="ListParagraph"/>
        <w:spacing w:lineRule="auto" w:line="276" w:before="0" w:after="0"/>
        <w:ind w:left="0" w:right="0" w:hanging="0"/>
        <w:contextualSpacing/>
        <w:rPr>
          <w:rFonts w:ascii="Times New Roman" w:hAnsi="Times New Roman" w:cs="Times New Roman"/>
          <w:b/>
          <w:b/>
          <w:szCs w:val="28"/>
        </w:rPr>
      </w:pPr>
      <w:r>
        <w:rPr>
          <w:rFonts w:cs="Times New Roman" w:ascii="Times New Roman" w:hAnsi="Times New Roman"/>
          <w:b/>
          <w:szCs w:val="28"/>
        </w:rPr>
      </w:r>
    </w:p>
    <w:p>
      <w:pPr>
        <w:pStyle w:val="ListParagraph"/>
        <w:spacing w:lineRule="auto" w:line="276"/>
        <w:ind w:left="0" w:right="0" w:hanging="0"/>
        <w:jc w:val="both"/>
        <w:rPr>
          <w:rFonts w:ascii="Times New Roman" w:hAnsi="Times New Roman"/>
        </w:rPr>
      </w:pPr>
      <w:r>
        <w:rPr>
          <w:rFonts w:ascii="Times New Roman" w:hAnsi="Times New Roman"/>
        </w:rPr>
        <w:t>Contratação do sistema denominado Portal de Compras Públicas, para a realização de licitação em meio digital, por intermédio da rede mundial de computadores.</w:t>
      </w:r>
    </w:p>
    <w:p>
      <w:pPr>
        <w:pStyle w:val="Normal"/>
        <w:spacing w:lineRule="auto" w:line="276" w:before="0" w:after="0"/>
        <w:rPr>
          <w:rFonts w:ascii="Times New Roman" w:hAnsi="Times New Roman" w:cs="Times New Roman"/>
          <w:b/>
          <w:b/>
          <w:szCs w:val="28"/>
        </w:rPr>
      </w:pPr>
      <w:r>
        <w:rPr>
          <w:rFonts w:cs="Times New Roman"/>
          <w:b/>
          <w:szCs w:val="28"/>
        </w:rPr>
      </w:r>
    </w:p>
    <w:p>
      <w:pPr>
        <w:pStyle w:val="ListParagraph"/>
        <w:numPr>
          <w:ilvl w:val="0"/>
          <w:numId w:val="3"/>
        </w:numPr>
        <w:spacing w:lineRule="auto" w:line="240" w:before="0" w:after="0"/>
        <w:contextualSpacing/>
        <w:rPr>
          <w:rFonts w:ascii="Times New Roman" w:hAnsi="Times New Roman"/>
        </w:rPr>
      </w:pPr>
      <w:r>
        <w:rPr>
          <w:rFonts w:cs="Times New Roman" w:ascii="Times New Roman" w:hAnsi="Times New Roman"/>
          <w:b/>
          <w:szCs w:val="28"/>
        </w:rPr>
        <w:t>JUSTIFICATIVA E OBJETIVO DA CONTRATAÇÃO</w:t>
      </w:r>
    </w:p>
    <w:p>
      <w:pPr>
        <w:pStyle w:val="ListParagraph"/>
        <w:spacing w:lineRule="auto" w:line="276" w:before="0" w:after="0"/>
        <w:ind w:left="0" w:right="0" w:hanging="0"/>
        <w:contextualSpacing/>
        <w:rPr>
          <w:rFonts w:ascii="Times New Roman" w:hAnsi="Times New Roman" w:cs="Times New Roman"/>
          <w:b/>
          <w:b/>
          <w:szCs w:val="28"/>
        </w:rPr>
      </w:pPr>
      <w:r>
        <w:rPr>
          <w:rFonts w:cs="Times New Roman" w:ascii="Times New Roman" w:hAnsi="Times New Roman"/>
          <w:b/>
          <w:szCs w:val="28"/>
        </w:rPr>
      </w:r>
    </w:p>
    <w:p>
      <w:pPr>
        <w:pStyle w:val="ListParagraph"/>
        <w:spacing w:lineRule="auto" w:line="276"/>
        <w:ind w:left="0" w:right="0" w:hanging="0"/>
        <w:jc w:val="both"/>
        <w:rPr>
          <w:rFonts w:ascii="Times New Roman" w:hAnsi="Times New Roman"/>
        </w:rPr>
      </w:pPr>
      <w:r>
        <w:rPr>
          <w:rFonts w:ascii="Times New Roman" w:hAnsi="Times New Roman"/>
        </w:rPr>
        <w:t>Atender a necessidade de realização de licitação em meio digital, com padronização de procedimentos, unificação de banco de dados e mais eficiência nas compras da Câmara Municipal de Vereadores e aumento da competitividade, especificamente na modalidade Pregão Eletrônico.</w:t>
      </w:r>
    </w:p>
    <w:p>
      <w:pPr>
        <w:pStyle w:val="ListParagraph"/>
        <w:spacing w:lineRule="auto" w:line="276" w:before="0" w:after="0"/>
        <w:ind w:left="0" w:right="0" w:hanging="0"/>
        <w:contextualSpacing/>
        <w:rPr>
          <w:rFonts w:ascii="Times New Roman" w:hAnsi="Times New Roman" w:cs="Times New Roman"/>
          <w:b/>
          <w:b/>
          <w:szCs w:val="28"/>
        </w:rPr>
      </w:pPr>
      <w:r>
        <w:rPr>
          <w:rFonts w:cs="Times New Roman" w:ascii="Times New Roman" w:hAnsi="Times New Roman"/>
          <w:b/>
          <w:szCs w:val="28"/>
        </w:rPr>
      </w:r>
    </w:p>
    <w:p>
      <w:pPr>
        <w:pStyle w:val="ListParagraph"/>
        <w:numPr>
          <w:ilvl w:val="0"/>
          <w:numId w:val="3"/>
        </w:numPr>
        <w:spacing w:lineRule="auto" w:line="240" w:before="0" w:after="0"/>
        <w:contextualSpacing/>
        <w:rPr>
          <w:rFonts w:ascii="Times New Roman" w:hAnsi="Times New Roman"/>
        </w:rPr>
      </w:pPr>
      <w:r>
        <w:rPr>
          <w:rFonts w:cs="Times New Roman" w:ascii="Times New Roman" w:hAnsi="Times New Roman"/>
          <w:b/>
          <w:szCs w:val="28"/>
        </w:rPr>
        <w:t>DA CLASSIFICAÇÃO DO SERVIÇO:</w:t>
      </w:r>
    </w:p>
    <w:p>
      <w:pPr>
        <w:pStyle w:val="ListParagraph"/>
        <w:spacing w:lineRule="auto" w:line="276" w:before="0" w:after="0"/>
        <w:ind w:left="0" w:right="0" w:hanging="0"/>
        <w:contextualSpacing/>
        <w:rPr>
          <w:rFonts w:ascii="Times New Roman" w:hAnsi="Times New Roman" w:cs="Times New Roman"/>
          <w:szCs w:val="28"/>
        </w:rPr>
      </w:pPr>
      <w:r>
        <w:rPr>
          <w:rFonts w:cs="Times New Roman" w:ascii="Times New Roman" w:hAnsi="Times New Roman"/>
          <w:szCs w:val="28"/>
        </w:rPr>
      </w:r>
    </w:p>
    <w:p>
      <w:pPr>
        <w:pStyle w:val="Normal"/>
        <w:spacing w:lineRule="auto" w:line="276" w:before="0" w:after="0"/>
        <w:rPr>
          <w:rFonts w:ascii="Times New Roman" w:hAnsi="Times New Roman"/>
        </w:rPr>
      </w:pPr>
      <w:r>
        <w:rPr>
          <w:rFonts w:cs="Times New Roman"/>
          <w:b/>
          <w:szCs w:val="28"/>
        </w:rPr>
        <w:t>A) Motivação da contratação:</w:t>
      </w:r>
    </w:p>
    <w:p>
      <w:pPr>
        <w:pStyle w:val="Normal"/>
        <w:spacing w:lineRule="auto" w:line="276" w:before="0" w:after="0"/>
        <w:rPr>
          <w:rFonts w:ascii="Times New Roman" w:hAnsi="Times New Roman" w:cs="Times New Roman"/>
          <w:szCs w:val="28"/>
        </w:rPr>
      </w:pPr>
      <w:r>
        <w:rPr>
          <w:rFonts w:cs="Times New Roman"/>
          <w:szCs w:val="28"/>
        </w:rPr>
      </w:r>
    </w:p>
    <w:p>
      <w:pPr>
        <w:pStyle w:val="Normal"/>
        <w:spacing w:lineRule="auto" w:line="276"/>
        <w:jc w:val="both"/>
        <w:rPr>
          <w:rFonts w:ascii="Times New Roman" w:hAnsi="Times New Roman"/>
        </w:rPr>
      </w:pPr>
      <w:r>
        <w:rPr>
          <w:rFonts w:cs="Times New Roman"/>
          <w:szCs w:val="28"/>
        </w:rPr>
        <w:t>Atender à necessidade administrativa especificada no item anterior e atingir um maior número de fornecedores, inclusive em âmbito nacional, nos procedimentos licitatórios deste Poder Legislativo.</w:t>
      </w:r>
    </w:p>
    <w:p>
      <w:pPr>
        <w:pStyle w:val="Normal"/>
        <w:spacing w:lineRule="auto" w:line="276"/>
        <w:jc w:val="both"/>
        <w:rPr>
          <w:rFonts w:ascii="Times New Roman" w:hAnsi="Times New Roman"/>
        </w:rPr>
      </w:pPr>
      <w:r>
        <w:rPr>
          <w:rFonts w:cs="Times New Roman"/>
        </w:rPr>
        <w:t>Pretende-se com essa contratação a realização de procedimentos eletrônicos existentes no sistema para a efetivação das contratações da Câmara Municipal.</w:t>
      </w:r>
    </w:p>
    <w:p>
      <w:pPr>
        <w:pStyle w:val="Normal"/>
        <w:spacing w:lineRule="auto" w:line="276"/>
        <w:jc w:val="both"/>
        <w:rPr>
          <w:rFonts w:ascii="Times New Roman" w:hAnsi="Times New Roman" w:cs="Times New Roman"/>
          <w:szCs w:val="28"/>
        </w:rPr>
      </w:pPr>
      <w:r>
        <w:rPr>
          <w:rFonts w:cs="Times New Roman"/>
          <w:szCs w:val="28"/>
        </w:rPr>
      </w:r>
    </w:p>
    <w:p>
      <w:pPr>
        <w:pStyle w:val="Normal"/>
        <w:spacing w:lineRule="auto" w:line="276" w:before="0" w:after="0"/>
        <w:rPr>
          <w:rFonts w:ascii="Times New Roman" w:hAnsi="Times New Roman"/>
        </w:rPr>
      </w:pPr>
      <w:r>
        <w:rPr>
          <w:rFonts w:cs="Times New Roman"/>
          <w:b/>
          <w:szCs w:val="28"/>
        </w:rPr>
        <w:t>b) Benefícios diretos e indiretos que resultarão da contratação:</w:t>
      </w:r>
    </w:p>
    <w:p>
      <w:pPr>
        <w:pStyle w:val="Normal"/>
        <w:spacing w:lineRule="auto" w:line="276" w:before="0" w:after="0"/>
        <w:rPr>
          <w:rFonts w:ascii="Times New Roman" w:hAnsi="Times New Roman" w:cs="Times New Roman"/>
          <w:szCs w:val="28"/>
        </w:rPr>
      </w:pPr>
      <w:r>
        <w:rPr>
          <w:rFonts w:cs="Times New Roman"/>
          <w:szCs w:val="28"/>
        </w:rPr>
      </w:r>
    </w:p>
    <w:p>
      <w:pPr>
        <w:pStyle w:val="Normal"/>
        <w:spacing w:lineRule="auto" w:line="276" w:before="0" w:after="0"/>
        <w:jc w:val="both"/>
        <w:rPr>
          <w:rFonts w:ascii="Times New Roman" w:hAnsi="Times New Roman"/>
        </w:rPr>
      </w:pPr>
      <w:r>
        <w:rPr>
          <w:rFonts w:cs="Times New Roman"/>
          <w:szCs w:val="28"/>
        </w:rPr>
        <w:t>Atender à demanda de disponibilização e manutenção de sistema de gerenciamento digital de procedimentos licitatórios, realizados por meio da rede mundial de computadores.</w:t>
      </w:r>
    </w:p>
    <w:p>
      <w:pPr>
        <w:pStyle w:val="Normal"/>
        <w:spacing w:lineRule="auto" w:line="276"/>
        <w:jc w:val="both"/>
        <w:rPr>
          <w:rFonts w:ascii="Times New Roman" w:hAnsi="Times New Roman"/>
        </w:rPr>
      </w:pPr>
      <w:r>
        <w:rPr>
          <w:rFonts w:eastAsia="Times New Roman"/>
          <w:szCs w:val="28"/>
          <w:lang w:eastAsia="pt-BR"/>
        </w:rPr>
        <w:t>Como resultado da contratação, verificam-se os seguintes benefícios para a Câmara Municipal de Vereadores:</w:t>
      </w:r>
    </w:p>
    <w:p>
      <w:pPr>
        <w:pStyle w:val="Normal"/>
        <w:numPr>
          <w:ilvl w:val="0"/>
          <w:numId w:val="8"/>
        </w:numPr>
        <w:spacing w:lineRule="auto" w:line="240" w:before="120" w:after="120"/>
        <w:ind w:left="1701" w:right="0" w:hanging="0"/>
        <w:jc w:val="both"/>
        <w:rPr>
          <w:rFonts w:ascii="Times New Roman" w:hAnsi="Times New Roman"/>
        </w:rPr>
      </w:pPr>
      <w:r>
        <w:rPr>
          <w:rFonts w:eastAsia="Times New Roman"/>
          <w:szCs w:val="28"/>
          <w:lang w:eastAsia="pt-BR"/>
        </w:rPr>
        <w:t>ausência de dispêndio financeiro;</w:t>
      </w:r>
    </w:p>
    <w:p>
      <w:pPr>
        <w:pStyle w:val="Normal"/>
        <w:numPr>
          <w:ilvl w:val="0"/>
          <w:numId w:val="8"/>
        </w:numPr>
        <w:spacing w:lineRule="auto" w:line="240" w:before="120" w:after="120"/>
        <w:ind w:left="1701" w:right="0" w:hanging="0"/>
        <w:jc w:val="both"/>
        <w:rPr>
          <w:rFonts w:ascii="Times New Roman" w:hAnsi="Times New Roman"/>
        </w:rPr>
      </w:pPr>
      <w:r>
        <w:rPr>
          <w:rFonts w:eastAsia="Times New Roman"/>
          <w:szCs w:val="28"/>
          <w:lang w:eastAsia="pt-BR"/>
        </w:rPr>
        <w:t>aumento da competitividade em suas licitações;</w:t>
      </w:r>
    </w:p>
    <w:p>
      <w:pPr>
        <w:pStyle w:val="Normal"/>
        <w:numPr>
          <w:ilvl w:val="0"/>
          <w:numId w:val="8"/>
        </w:numPr>
        <w:spacing w:lineRule="auto" w:line="240" w:before="120" w:after="120"/>
        <w:ind w:left="1701" w:right="0" w:hanging="0"/>
        <w:jc w:val="both"/>
        <w:rPr>
          <w:rFonts w:ascii="Times New Roman" w:hAnsi="Times New Roman"/>
        </w:rPr>
      </w:pPr>
      <w:r>
        <w:rPr>
          <w:rFonts w:eastAsia="Times New Roman"/>
          <w:szCs w:val="28"/>
          <w:lang w:eastAsia="pt-BR"/>
        </w:rPr>
        <w:t>mais celeridade e eficiência em seus procedimentos;</w:t>
      </w:r>
    </w:p>
    <w:p>
      <w:pPr>
        <w:pStyle w:val="Normal"/>
        <w:numPr>
          <w:ilvl w:val="0"/>
          <w:numId w:val="8"/>
        </w:numPr>
        <w:spacing w:lineRule="auto" w:line="240" w:before="120" w:after="120"/>
        <w:ind w:left="1701" w:right="0" w:hanging="0"/>
        <w:jc w:val="both"/>
        <w:rPr>
          <w:rFonts w:ascii="Times New Roman" w:hAnsi="Times New Roman"/>
        </w:rPr>
      </w:pPr>
      <w:r>
        <w:rPr>
          <w:rFonts w:eastAsia="Times New Roman"/>
          <w:szCs w:val="28"/>
          <w:lang w:eastAsia="pt-BR"/>
        </w:rPr>
        <w:t>controle de documentação e atestado de fornecedores;</w:t>
      </w:r>
    </w:p>
    <w:p>
      <w:pPr>
        <w:pStyle w:val="Normal"/>
        <w:numPr>
          <w:ilvl w:val="0"/>
          <w:numId w:val="8"/>
        </w:numPr>
        <w:spacing w:lineRule="auto" w:line="240" w:before="120" w:after="120"/>
        <w:ind w:left="1701" w:right="0" w:hanging="0"/>
        <w:jc w:val="both"/>
        <w:rPr>
          <w:rFonts w:ascii="Times New Roman" w:hAnsi="Times New Roman"/>
        </w:rPr>
      </w:pPr>
      <w:r>
        <w:rPr>
          <w:rFonts w:eastAsia="Times New Roman"/>
          <w:szCs w:val="28"/>
          <w:lang w:eastAsia="pt-BR"/>
        </w:rPr>
        <w:t>possibilidade de personalização de formulários;</w:t>
      </w:r>
    </w:p>
    <w:p>
      <w:pPr>
        <w:pStyle w:val="Normal"/>
        <w:numPr>
          <w:ilvl w:val="0"/>
          <w:numId w:val="8"/>
        </w:numPr>
        <w:spacing w:lineRule="auto" w:line="240" w:before="120" w:after="120"/>
        <w:ind w:left="1701" w:right="0" w:hanging="0"/>
        <w:jc w:val="both"/>
        <w:rPr>
          <w:rFonts w:ascii="Times New Roman" w:hAnsi="Times New Roman"/>
        </w:rPr>
      </w:pPr>
      <w:r>
        <w:rPr>
          <w:rFonts w:eastAsia="Times New Roman"/>
          <w:szCs w:val="28"/>
          <w:lang w:eastAsia="pt-BR"/>
        </w:rPr>
        <w:t>integração com outros sistemas porventura existentes, incluindo sistemas de Tribunais de Contas; e</w:t>
      </w:r>
    </w:p>
    <w:p>
      <w:pPr>
        <w:pStyle w:val="Normal"/>
        <w:numPr>
          <w:ilvl w:val="0"/>
          <w:numId w:val="8"/>
        </w:numPr>
        <w:spacing w:lineRule="auto" w:line="240" w:before="120" w:after="120"/>
        <w:ind w:left="1701" w:right="0" w:hanging="0"/>
        <w:jc w:val="both"/>
        <w:rPr>
          <w:rFonts w:ascii="Times New Roman" w:hAnsi="Times New Roman"/>
        </w:rPr>
      </w:pPr>
      <w:r>
        <w:rPr>
          <w:rFonts w:eastAsia="Times New Roman"/>
          <w:szCs w:val="28"/>
          <w:lang w:eastAsia="pt-BR"/>
        </w:rPr>
        <w:t>capacitação e cursos operacionais.</w:t>
      </w:r>
    </w:p>
    <w:p>
      <w:pPr>
        <w:pStyle w:val="Normal"/>
        <w:spacing w:lineRule="auto" w:line="276"/>
        <w:jc w:val="both"/>
        <w:rPr>
          <w:rFonts w:ascii="Times New Roman" w:hAnsi="Times New Roman" w:eastAsia="Times New Roman"/>
          <w:szCs w:val="28"/>
          <w:lang w:eastAsia="pt-BR"/>
        </w:rPr>
      </w:pPr>
      <w:r>
        <w:rPr>
          <w:rFonts w:eastAsia="Times New Roman"/>
          <w:szCs w:val="28"/>
          <w:lang w:eastAsia="pt-BR"/>
        </w:rPr>
      </w:r>
    </w:p>
    <w:p>
      <w:pPr>
        <w:pStyle w:val="Normal"/>
        <w:spacing w:lineRule="auto" w:line="276"/>
        <w:jc w:val="both"/>
        <w:rPr>
          <w:rFonts w:ascii="Times New Roman" w:hAnsi="Times New Roman"/>
        </w:rPr>
      </w:pPr>
      <w:r>
        <w:rPr>
          <w:rFonts w:eastAsia="Times New Roman"/>
          <w:szCs w:val="28"/>
          <w:lang w:eastAsia="pt-BR"/>
        </w:rPr>
        <w:t>A contratação do sistema objeto desse processo de dispensa trará também os seguintes benefícios para os  potenciais fornecedores:</w:t>
      </w:r>
    </w:p>
    <w:p>
      <w:pPr>
        <w:pStyle w:val="Normal"/>
        <w:widowControl/>
        <w:numPr>
          <w:ilvl w:val="0"/>
          <w:numId w:val="9"/>
        </w:numPr>
        <w:suppressAutoHyphens w:val="true"/>
        <w:overflowPunct w:val="false"/>
        <w:bidi w:val="0"/>
        <w:spacing w:lineRule="auto" w:line="240" w:before="120" w:after="120"/>
        <w:ind w:left="1814" w:right="0" w:hanging="0"/>
        <w:jc w:val="both"/>
        <w:rPr>
          <w:rFonts w:ascii="Times New Roman" w:hAnsi="Times New Roman"/>
        </w:rPr>
      </w:pPr>
      <w:r>
        <w:rPr>
          <w:rFonts w:eastAsia="Times New Roman"/>
          <w:lang w:eastAsia="pt-BR"/>
        </w:rPr>
        <w:t xml:space="preserve">Custos compatíveis </w:t>
      </w:r>
      <w:r>
        <w:rPr/>
        <w:t>com o mercado</w:t>
      </w:r>
      <w:r>
        <w:rPr>
          <w:rStyle w:val="Ncoradanotaderodap"/>
          <w:vertAlign w:val="superscript"/>
        </w:rPr>
        <w:footnoteReference w:id="5"/>
      </w:r>
      <w:r>
        <w:rPr/>
        <w:t>, considerando que não está relacionado com o número de procedimentos em andamento no sistema, mas refere-se aos custos com a ferramenta;</w:t>
      </w:r>
    </w:p>
    <w:p>
      <w:pPr>
        <w:pStyle w:val="PEAnormal"/>
        <w:widowControl/>
        <w:numPr>
          <w:ilvl w:val="0"/>
          <w:numId w:val="9"/>
        </w:numPr>
        <w:suppressAutoHyphens w:val="true"/>
        <w:overflowPunct w:val="false"/>
        <w:bidi w:val="0"/>
        <w:spacing w:lineRule="auto" w:line="240" w:before="120" w:after="120"/>
        <w:ind w:left="1757" w:right="0" w:hanging="0"/>
        <w:jc w:val="both"/>
        <w:rPr>
          <w:rFonts w:ascii="Times New Roman" w:hAnsi="Times New Roman"/>
        </w:rPr>
      </w:pPr>
      <w:r>
        <w:rPr>
          <w:rFonts w:cs="Calibri"/>
          <w:sz w:val="22"/>
          <w:szCs w:val="22"/>
          <w:shd w:fill="FFFFFF" w:val="clear"/>
        </w:rPr>
        <w:t xml:space="preserve">Cadastramento da empresa; </w:t>
      </w:r>
    </w:p>
    <w:p>
      <w:pPr>
        <w:pStyle w:val="PEAnormal"/>
        <w:widowControl/>
        <w:numPr>
          <w:ilvl w:val="0"/>
          <w:numId w:val="9"/>
        </w:numPr>
        <w:suppressAutoHyphens w:val="true"/>
        <w:overflowPunct w:val="false"/>
        <w:bidi w:val="0"/>
        <w:spacing w:lineRule="auto" w:line="240" w:before="120" w:after="120"/>
        <w:ind w:left="1757" w:right="0" w:hanging="0"/>
        <w:jc w:val="both"/>
        <w:rPr>
          <w:rFonts w:ascii="Times New Roman" w:hAnsi="Times New Roman"/>
        </w:rPr>
      </w:pPr>
      <w:r>
        <w:rPr>
          <w:rFonts w:cs="Calibri"/>
          <w:sz w:val="22"/>
          <w:szCs w:val="22"/>
          <w:shd w:fill="FFFFFF" w:val="clear"/>
        </w:rPr>
        <w:t xml:space="preserve">Cadastramento de seus representantes; </w:t>
      </w:r>
    </w:p>
    <w:p>
      <w:pPr>
        <w:pStyle w:val="PEAnormal"/>
        <w:widowControl/>
        <w:numPr>
          <w:ilvl w:val="0"/>
          <w:numId w:val="9"/>
        </w:numPr>
        <w:suppressAutoHyphens w:val="true"/>
        <w:overflowPunct w:val="false"/>
        <w:bidi w:val="0"/>
        <w:spacing w:lineRule="auto" w:line="240" w:before="120" w:after="120"/>
        <w:ind w:left="1757" w:right="0" w:hanging="0"/>
        <w:jc w:val="both"/>
        <w:rPr>
          <w:rFonts w:ascii="Times New Roman" w:hAnsi="Times New Roman"/>
        </w:rPr>
      </w:pPr>
      <w:r>
        <w:rPr>
          <w:rFonts w:cs="Calibri"/>
          <w:sz w:val="22"/>
          <w:szCs w:val="22"/>
          <w:shd w:fill="FFFFFF" w:val="clear"/>
        </w:rPr>
        <w:t>Atendimento prestado via Central de Atendimento com pregoeiros certificados pela Escola Nacional de Administração Pública; </w:t>
      </w:r>
    </w:p>
    <w:p>
      <w:pPr>
        <w:pStyle w:val="PEAnormal"/>
        <w:widowControl/>
        <w:numPr>
          <w:ilvl w:val="0"/>
          <w:numId w:val="9"/>
        </w:numPr>
        <w:suppressAutoHyphens w:val="true"/>
        <w:overflowPunct w:val="false"/>
        <w:bidi w:val="0"/>
        <w:spacing w:lineRule="auto" w:line="240" w:before="120" w:after="120"/>
        <w:ind w:left="1757" w:right="0" w:hanging="0"/>
        <w:jc w:val="both"/>
        <w:rPr>
          <w:rFonts w:ascii="Times New Roman" w:hAnsi="Times New Roman"/>
        </w:rPr>
      </w:pPr>
      <w:r>
        <w:rPr>
          <w:rFonts w:cs="Calibri"/>
          <w:sz w:val="22"/>
          <w:szCs w:val="22"/>
          <w:shd w:fill="FFFFFF" w:val="clear"/>
        </w:rPr>
        <w:t xml:space="preserve">Custo de processamento das transações realizadas na internet; </w:t>
      </w:r>
    </w:p>
    <w:p>
      <w:pPr>
        <w:pStyle w:val="PEAnormal"/>
        <w:widowControl/>
        <w:numPr>
          <w:ilvl w:val="0"/>
          <w:numId w:val="9"/>
        </w:numPr>
        <w:suppressAutoHyphens w:val="true"/>
        <w:overflowPunct w:val="false"/>
        <w:bidi w:val="0"/>
        <w:spacing w:lineRule="auto" w:line="240" w:before="120" w:after="120"/>
        <w:ind w:left="1757" w:right="0" w:hanging="0"/>
        <w:jc w:val="both"/>
        <w:rPr>
          <w:rFonts w:ascii="Times New Roman" w:hAnsi="Times New Roman"/>
        </w:rPr>
      </w:pPr>
      <w:r>
        <w:rPr>
          <w:rFonts w:cs="Calibri"/>
          <w:sz w:val="22"/>
          <w:szCs w:val="22"/>
          <w:shd w:fill="FFFFFF" w:val="clear"/>
        </w:rPr>
        <w:t xml:space="preserve">Infraestrutura e </w:t>
      </w:r>
      <w:r>
        <w:rPr>
          <w:rFonts w:cs="Calibri"/>
          <w:i/>
          <w:iCs/>
          <w:sz w:val="22"/>
          <w:szCs w:val="22"/>
          <w:shd w:fill="FFFFFF" w:val="clear"/>
        </w:rPr>
        <w:t xml:space="preserve">datacenter; </w:t>
      </w:r>
    </w:p>
    <w:p>
      <w:pPr>
        <w:pStyle w:val="PEAnormal"/>
        <w:widowControl/>
        <w:numPr>
          <w:ilvl w:val="0"/>
          <w:numId w:val="9"/>
        </w:numPr>
        <w:suppressAutoHyphens w:val="true"/>
        <w:overflowPunct w:val="false"/>
        <w:bidi w:val="0"/>
        <w:spacing w:lineRule="auto" w:line="240" w:before="120" w:after="120"/>
        <w:ind w:left="1757" w:right="0" w:hanging="0"/>
        <w:jc w:val="both"/>
        <w:rPr>
          <w:rFonts w:ascii="Times New Roman" w:hAnsi="Times New Roman"/>
        </w:rPr>
      </w:pPr>
      <w:r>
        <w:rPr>
          <w:rFonts w:cs="Calibri"/>
          <w:sz w:val="22"/>
          <w:szCs w:val="22"/>
          <w:shd w:fill="FFFFFF" w:val="clear"/>
        </w:rPr>
        <w:t>Manutenção e desenvolvimento de sistema;  </w:t>
      </w:r>
    </w:p>
    <w:p>
      <w:pPr>
        <w:pStyle w:val="PEAnormal"/>
        <w:widowControl/>
        <w:numPr>
          <w:ilvl w:val="0"/>
          <w:numId w:val="9"/>
        </w:numPr>
        <w:suppressAutoHyphens w:val="true"/>
        <w:overflowPunct w:val="false"/>
        <w:bidi w:val="0"/>
        <w:spacing w:lineRule="auto" w:line="240" w:before="120" w:after="120"/>
        <w:ind w:left="1757" w:right="0" w:hanging="0"/>
        <w:jc w:val="both"/>
        <w:rPr>
          <w:rFonts w:ascii="Times New Roman" w:hAnsi="Times New Roman"/>
        </w:rPr>
      </w:pPr>
      <w:r>
        <w:rPr>
          <w:rFonts w:cs="Calibri"/>
          <w:sz w:val="22"/>
          <w:szCs w:val="22"/>
          <w:shd w:fill="FFFFFF" w:val="clear"/>
        </w:rPr>
        <w:t xml:space="preserve">Investimento em equipamentos; </w:t>
      </w:r>
    </w:p>
    <w:p>
      <w:pPr>
        <w:pStyle w:val="PEAnormal"/>
        <w:widowControl/>
        <w:numPr>
          <w:ilvl w:val="0"/>
          <w:numId w:val="9"/>
        </w:numPr>
        <w:suppressAutoHyphens w:val="true"/>
        <w:overflowPunct w:val="false"/>
        <w:bidi w:val="0"/>
        <w:spacing w:lineRule="auto" w:line="240" w:before="120" w:after="120"/>
        <w:ind w:left="1757" w:right="0" w:hanging="0"/>
        <w:jc w:val="both"/>
        <w:rPr>
          <w:rFonts w:ascii="Times New Roman" w:hAnsi="Times New Roman"/>
        </w:rPr>
      </w:pPr>
      <w:r>
        <w:rPr>
          <w:rFonts w:cs="Calibri"/>
          <w:sz w:val="22"/>
          <w:szCs w:val="22"/>
          <w:shd w:fill="FFFFFF" w:val="clear"/>
        </w:rPr>
        <w:t xml:space="preserve">Redução de custos para garantir participação nos certames, já que não há necessidade de deslocamento ou acomodação; </w:t>
      </w:r>
    </w:p>
    <w:p>
      <w:pPr>
        <w:pStyle w:val="PEAnormal"/>
        <w:widowControl/>
        <w:numPr>
          <w:ilvl w:val="0"/>
          <w:numId w:val="9"/>
        </w:numPr>
        <w:suppressAutoHyphens w:val="true"/>
        <w:overflowPunct w:val="false"/>
        <w:bidi w:val="0"/>
        <w:spacing w:lineRule="auto" w:line="240" w:before="120" w:after="120"/>
        <w:ind w:left="1757" w:right="0" w:hanging="0"/>
        <w:jc w:val="both"/>
        <w:rPr>
          <w:rFonts w:ascii="Times New Roman" w:hAnsi="Times New Roman"/>
        </w:rPr>
      </w:pPr>
      <w:r>
        <w:rPr>
          <w:rFonts w:cs="Calibri"/>
          <w:sz w:val="22"/>
          <w:szCs w:val="22"/>
          <w:shd w:fill="FFFFFF" w:val="clear"/>
        </w:rPr>
        <w:t xml:space="preserve">Ampliação do raio de atuação, podendo fazer propostas e lances em processos de qualquer lugar do Brasil; </w:t>
      </w:r>
    </w:p>
    <w:p>
      <w:pPr>
        <w:pStyle w:val="PEAnormal"/>
        <w:widowControl/>
        <w:numPr>
          <w:ilvl w:val="0"/>
          <w:numId w:val="9"/>
        </w:numPr>
        <w:suppressAutoHyphens w:val="true"/>
        <w:overflowPunct w:val="false"/>
        <w:bidi w:val="0"/>
        <w:spacing w:lineRule="auto" w:line="240" w:before="120" w:after="120"/>
        <w:ind w:left="1757" w:right="0" w:hanging="0"/>
        <w:jc w:val="both"/>
        <w:rPr>
          <w:rFonts w:ascii="Times New Roman" w:hAnsi="Times New Roman"/>
        </w:rPr>
      </w:pPr>
      <w:r>
        <w:rPr>
          <w:rFonts w:cs="Calibri"/>
          <w:sz w:val="22"/>
          <w:szCs w:val="22"/>
          <w:shd w:fill="FFFFFF" w:val="clear"/>
        </w:rPr>
        <w:t>Divulgação automática de licitações dentro de sua área de atuação via meio eletrônico;</w:t>
      </w:r>
    </w:p>
    <w:p>
      <w:pPr>
        <w:pStyle w:val="PEAnormal"/>
        <w:widowControl/>
        <w:numPr>
          <w:ilvl w:val="0"/>
          <w:numId w:val="9"/>
        </w:numPr>
        <w:suppressAutoHyphens w:val="true"/>
        <w:overflowPunct w:val="false"/>
        <w:bidi w:val="0"/>
        <w:spacing w:lineRule="auto" w:line="240" w:before="120" w:after="120"/>
        <w:ind w:left="1757" w:right="0" w:hanging="0"/>
        <w:jc w:val="both"/>
        <w:rPr>
          <w:rFonts w:ascii="Times New Roman" w:hAnsi="Times New Roman"/>
        </w:rPr>
      </w:pPr>
      <w:r>
        <w:rPr>
          <w:rFonts w:cs="Calibri"/>
          <w:sz w:val="22"/>
          <w:szCs w:val="22"/>
          <w:shd w:fill="FFFFFF" w:val="clear"/>
        </w:rPr>
        <w:t xml:space="preserve">Pesquisar, visualizar e fazer </w:t>
      </w:r>
      <w:r>
        <w:rPr>
          <w:rFonts w:cs="Calibri"/>
          <w:i/>
          <w:sz w:val="22"/>
          <w:szCs w:val="22"/>
          <w:shd w:fill="FFFFFF" w:val="clear"/>
        </w:rPr>
        <w:t>download</w:t>
      </w:r>
      <w:r>
        <w:rPr>
          <w:rFonts w:cs="Calibri"/>
          <w:sz w:val="22"/>
          <w:szCs w:val="22"/>
          <w:shd w:fill="FFFFFF" w:val="clear"/>
        </w:rPr>
        <w:t xml:space="preserve"> de editais de forma </w:t>
      </w:r>
      <w:r>
        <w:rPr>
          <w:rFonts w:cs="Calibri"/>
          <w:i/>
          <w:sz w:val="22"/>
          <w:szCs w:val="22"/>
          <w:shd w:fill="FFFFFF" w:val="clear"/>
        </w:rPr>
        <w:t>online</w:t>
      </w:r>
      <w:r>
        <w:rPr>
          <w:rFonts w:cs="Calibri"/>
          <w:sz w:val="22"/>
          <w:szCs w:val="22"/>
          <w:shd w:fill="FFFFFF" w:val="clear"/>
        </w:rPr>
        <w:t xml:space="preserve">; e </w:t>
      </w:r>
    </w:p>
    <w:p>
      <w:pPr>
        <w:pStyle w:val="PEAnormal"/>
        <w:widowControl/>
        <w:numPr>
          <w:ilvl w:val="0"/>
          <w:numId w:val="9"/>
        </w:numPr>
        <w:suppressAutoHyphens w:val="true"/>
        <w:overflowPunct w:val="false"/>
        <w:bidi w:val="0"/>
        <w:spacing w:lineRule="auto" w:line="240" w:before="120" w:after="120"/>
        <w:ind w:left="1757" w:right="0" w:hanging="0"/>
        <w:jc w:val="both"/>
        <w:rPr>
          <w:rFonts w:ascii="Times New Roman" w:hAnsi="Times New Roman"/>
        </w:rPr>
      </w:pPr>
      <w:r>
        <w:rPr>
          <w:rFonts w:cs="Calibri"/>
          <w:sz w:val="22"/>
          <w:szCs w:val="22"/>
          <w:shd w:fill="FFFFFF" w:val="clear"/>
        </w:rPr>
        <w:t>Verificação de todos os preços praticados após abertura de propostas e fases dos processos.</w:t>
      </w:r>
    </w:p>
    <w:p>
      <w:pPr>
        <w:pStyle w:val="Normal"/>
        <w:spacing w:lineRule="auto" w:line="240" w:before="120" w:after="120"/>
        <w:ind w:left="1701" w:right="0" w:hanging="0"/>
        <w:jc w:val="both"/>
        <w:rPr>
          <w:rFonts w:ascii="Times New Roman" w:hAnsi="Times New Roman" w:eastAsia="Times New Roman"/>
          <w:szCs w:val="28"/>
          <w:lang w:eastAsia="pt-BR"/>
        </w:rPr>
      </w:pPr>
      <w:r>
        <w:rPr>
          <w:rFonts w:eastAsia="Times New Roman"/>
          <w:szCs w:val="28"/>
          <w:lang w:eastAsia="pt-BR"/>
        </w:rPr>
      </w:r>
    </w:p>
    <w:p>
      <w:pPr>
        <w:pStyle w:val="Normal"/>
        <w:spacing w:lineRule="auto" w:line="276" w:before="0" w:after="0"/>
        <w:jc w:val="both"/>
        <w:rPr>
          <w:rFonts w:ascii="Times New Roman" w:hAnsi="Times New Roman"/>
        </w:rPr>
      </w:pPr>
      <w:r>
        <w:rPr>
          <w:rFonts w:cs="Times New Roman"/>
          <w:b/>
          <w:szCs w:val="28"/>
        </w:rPr>
        <w:t>c) Conexão entre a contratação e o planejamento existente:</w:t>
      </w:r>
    </w:p>
    <w:p>
      <w:pPr>
        <w:pStyle w:val="Normal"/>
        <w:spacing w:lineRule="auto" w:line="276" w:before="0" w:after="0"/>
        <w:rPr>
          <w:rFonts w:ascii="Times New Roman" w:hAnsi="Times New Roman" w:cs="Times New Roman"/>
          <w:szCs w:val="28"/>
        </w:rPr>
      </w:pPr>
      <w:r>
        <w:rPr>
          <w:rFonts w:cs="Times New Roman"/>
          <w:szCs w:val="28"/>
        </w:rPr>
      </w:r>
    </w:p>
    <w:p>
      <w:pPr>
        <w:pStyle w:val="Normal"/>
        <w:spacing w:lineRule="auto" w:line="276" w:before="0" w:after="0"/>
        <w:jc w:val="both"/>
        <w:rPr>
          <w:rFonts w:ascii="Times New Roman" w:hAnsi="Times New Roman"/>
        </w:rPr>
      </w:pPr>
      <w:r>
        <w:rPr>
          <w:rFonts w:cs="Times New Roman"/>
          <w:szCs w:val="28"/>
        </w:rPr>
        <w:t>A Contratação direta da empresa especializada no fornecimento e manutenção do sistema está alinhada com o Estudo Técnico Preliminar, documento integrante deste processo administrativo, com demonstrativo da demanda existente.</w:t>
      </w:r>
    </w:p>
    <w:p>
      <w:pPr>
        <w:pStyle w:val="Normal"/>
        <w:spacing w:lineRule="auto" w:line="276" w:before="0" w:after="0"/>
        <w:rPr>
          <w:rFonts w:ascii="Times New Roman" w:hAnsi="Times New Roman" w:cs="Times New Roman"/>
          <w:szCs w:val="28"/>
        </w:rPr>
      </w:pPr>
      <w:r>
        <w:rPr>
          <w:rFonts w:cs="Times New Roman"/>
          <w:szCs w:val="28"/>
        </w:rPr>
      </w:r>
    </w:p>
    <w:p>
      <w:pPr>
        <w:pStyle w:val="Normal"/>
        <w:spacing w:lineRule="auto" w:line="276" w:before="0" w:after="0"/>
        <w:jc w:val="both"/>
        <w:rPr>
          <w:rFonts w:ascii="Times New Roman" w:hAnsi="Times New Roman"/>
        </w:rPr>
      </w:pPr>
      <w:r>
        <w:rPr>
          <w:rFonts w:cs="Times New Roman"/>
          <w:b/>
          <w:szCs w:val="28"/>
        </w:rPr>
        <w:t>d) Tipagem do serviço (comum ou não) e sua natureza (se continuado ou não):</w:t>
      </w:r>
    </w:p>
    <w:p>
      <w:pPr>
        <w:pStyle w:val="Normal"/>
        <w:spacing w:lineRule="auto" w:line="276" w:before="0" w:after="0"/>
        <w:jc w:val="both"/>
        <w:rPr>
          <w:rFonts w:ascii="Times New Roman" w:hAnsi="Times New Roman"/>
        </w:rPr>
      </w:pPr>
      <w:r>
        <w:rPr>
          <w:rFonts w:cs="Times New Roman"/>
          <w:szCs w:val="28"/>
        </w:rPr>
        <w:t>O objeto, quanto ao seu tipo, em tese, pode ser visualizado como comum, porém, a sua disponibilidade gratuita e a inviabilidade de definir objetivamente padrões de desempenho e qualidade dos benefícios indiretos resultantes do sistema não se coaduna com a realização de licitação para contratação em tela.</w:t>
      </w:r>
    </w:p>
    <w:p>
      <w:pPr>
        <w:pStyle w:val="Normal"/>
        <w:spacing w:lineRule="auto" w:line="276" w:before="0" w:after="0"/>
        <w:jc w:val="both"/>
        <w:rPr>
          <w:rFonts w:ascii="Times New Roman" w:hAnsi="Times New Roman" w:cs="Times New Roman"/>
          <w:szCs w:val="28"/>
        </w:rPr>
      </w:pPr>
      <w:r>
        <w:rPr>
          <w:rFonts w:cs="Times New Roman"/>
          <w:szCs w:val="28"/>
        </w:rPr>
      </w:r>
    </w:p>
    <w:p>
      <w:pPr>
        <w:pStyle w:val="Normal"/>
        <w:spacing w:lineRule="auto" w:line="276" w:before="0" w:after="0"/>
        <w:jc w:val="both"/>
        <w:rPr>
          <w:rFonts w:ascii="Times New Roman" w:hAnsi="Times New Roman"/>
        </w:rPr>
      </w:pPr>
      <w:r>
        <w:rPr>
          <w:rFonts w:cs="Times New Roman"/>
          <w:szCs w:val="28"/>
        </w:rPr>
        <w:t>A contratação direta do objeto, por meio de dispensa de licitação, é opção mais viável e vantajosa para a Câmara Municipal de Vereadores, considerando os estudos preliminares realizados e a análise de outros sistemas disponíveis no mercado.</w:t>
      </w:r>
    </w:p>
    <w:p>
      <w:pPr>
        <w:pStyle w:val="Normal"/>
        <w:spacing w:lineRule="auto" w:line="276" w:before="0" w:after="0"/>
        <w:jc w:val="both"/>
        <w:rPr>
          <w:rFonts w:ascii="Times New Roman" w:hAnsi="Times New Roman" w:cs="Times New Roman"/>
          <w:szCs w:val="28"/>
        </w:rPr>
      </w:pPr>
      <w:r>
        <w:rPr>
          <w:rFonts w:cs="Times New Roman"/>
          <w:szCs w:val="28"/>
        </w:rPr>
      </w:r>
    </w:p>
    <w:p>
      <w:pPr>
        <w:pStyle w:val="Normal"/>
        <w:spacing w:lineRule="auto" w:line="276" w:before="0" w:after="0"/>
        <w:jc w:val="both"/>
        <w:rPr>
          <w:rFonts w:ascii="Times New Roman" w:hAnsi="Times New Roman"/>
        </w:rPr>
      </w:pPr>
      <w:r>
        <w:rPr>
          <w:rFonts w:cs="Times New Roman"/>
          <w:szCs w:val="28"/>
        </w:rPr>
        <w:t>O serviço tem natureza continuada, tendo em vista que os processos licitatórios não necessariamente se findam com o fim do exercício financeiro, podendo ser prorrogado até o limite estabelecido na legislação vigente.</w:t>
      </w:r>
    </w:p>
    <w:p>
      <w:pPr>
        <w:pStyle w:val="Normal"/>
        <w:spacing w:lineRule="auto" w:line="276" w:before="0" w:after="0"/>
        <w:rPr>
          <w:rFonts w:ascii="Times New Roman" w:hAnsi="Times New Roman" w:cs="Times New Roman"/>
        </w:rPr>
      </w:pPr>
      <w:r>
        <w:rPr>
          <w:rFonts w:cs="Times New Roman"/>
        </w:rPr>
      </w:r>
    </w:p>
    <w:p>
      <w:pPr>
        <w:pStyle w:val="Normal"/>
        <w:spacing w:lineRule="auto" w:line="276" w:before="0" w:after="0"/>
        <w:rPr>
          <w:rFonts w:ascii="Times New Roman" w:hAnsi="Times New Roman"/>
        </w:rPr>
      </w:pPr>
      <w:r>
        <w:rPr>
          <w:rFonts w:cs="Times New Roman"/>
          <w:b/>
          <w:szCs w:val="28"/>
        </w:rPr>
        <w:t>e) Referências a estudos preliminares:</w:t>
      </w:r>
    </w:p>
    <w:p>
      <w:pPr>
        <w:pStyle w:val="Normal"/>
        <w:spacing w:lineRule="auto" w:line="276" w:before="0" w:after="0"/>
        <w:rPr>
          <w:rFonts w:ascii="Times New Roman" w:hAnsi="Times New Roman" w:cs="Times New Roman"/>
          <w:szCs w:val="28"/>
        </w:rPr>
      </w:pPr>
      <w:r>
        <w:rPr>
          <w:rFonts w:cs="Times New Roman"/>
          <w:szCs w:val="28"/>
        </w:rPr>
      </w:r>
    </w:p>
    <w:p>
      <w:pPr>
        <w:pStyle w:val="Normal"/>
        <w:spacing w:lineRule="auto" w:line="276" w:before="0" w:after="0"/>
        <w:jc w:val="both"/>
        <w:rPr>
          <w:rFonts w:ascii="Times New Roman" w:hAnsi="Times New Roman"/>
        </w:rPr>
      </w:pPr>
      <w:bookmarkStart w:id="0" w:name="_Hlk131050105"/>
      <w:bookmarkEnd w:id="0"/>
      <w:r>
        <w:rPr>
          <w:rFonts w:cs="Times New Roman"/>
          <w:szCs w:val="28"/>
        </w:rPr>
        <w:t xml:space="preserve">Para a contratação do referido sistema, foram analisados outros sistemas com objetivos semelhantes, tais como o sistema </w:t>
      </w:r>
      <w:r>
        <w:rPr>
          <w:rFonts w:eastAsia="Calibri"/>
          <w:i/>
        </w:rPr>
        <w:t>e-licitações</w:t>
      </w:r>
      <w:r>
        <w:rPr>
          <w:rFonts w:eastAsia="Calibri"/>
        </w:rPr>
        <w:t xml:space="preserve">, fornecido pelo Banco do Brasil S.A, e o sistema </w:t>
      </w:r>
      <w:r>
        <w:rPr>
          <w:rFonts w:eastAsia="Calibri"/>
          <w:i/>
        </w:rPr>
        <w:t>comprasgovernamentais</w:t>
      </w:r>
      <w:r>
        <w:rPr>
          <w:rFonts w:eastAsia="Calibri"/>
        </w:rPr>
        <w:t>, fornecido pelo SERPRO – Serviço Federal de Processamento de Dados</w:t>
      </w:r>
      <w:r>
        <w:rPr>
          <w:rFonts w:cs="Times New Roman"/>
          <w:szCs w:val="28"/>
        </w:rPr>
        <w:t>.</w:t>
      </w:r>
    </w:p>
    <w:p>
      <w:pPr>
        <w:pStyle w:val="Normal"/>
        <w:spacing w:lineRule="auto" w:line="276" w:before="0" w:after="0"/>
        <w:jc w:val="both"/>
        <w:rPr>
          <w:rFonts w:ascii="Times New Roman" w:hAnsi="Times New Roman" w:cs="Times New Roman"/>
          <w:szCs w:val="28"/>
        </w:rPr>
      </w:pPr>
      <w:r>
        <w:rPr>
          <w:rFonts w:cs="Times New Roman"/>
          <w:szCs w:val="28"/>
        </w:rPr>
      </w:r>
    </w:p>
    <w:p>
      <w:pPr>
        <w:pStyle w:val="Normal"/>
        <w:spacing w:lineRule="auto" w:line="276" w:before="0" w:after="0"/>
        <w:jc w:val="both"/>
        <w:rPr>
          <w:rFonts w:ascii="Times New Roman" w:hAnsi="Times New Roman"/>
        </w:rPr>
      </w:pPr>
      <w:bookmarkStart w:id="1" w:name="_Hlk131050120"/>
      <w:bookmarkEnd w:id="1"/>
      <w:r>
        <w:rPr>
          <w:rFonts w:cs="Times New Roman"/>
          <w:szCs w:val="28"/>
        </w:rPr>
        <w:t>Observou-se que para a utilização do sistema fornecido pelo SERPRO, traz diversas limitações como: não compatibilização com os normativos municipais/estaduais; suporte técnico demorado; e instabilidade do sistema.</w:t>
      </w:r>
    </w:p>
    <w:p>
      <w:pPr>
        <w:pStyle w:val="Normal"/>
        <w:spacing w:lineRule="auto" w:line="276" w:before="0" w:after="0"/>
        <w:jc w:val="both"/>
        <w:rPr>
          <w:rFonts w:ascii="Times New Roman" w:hAnsi="Times New Roman" w:cs="Times New Roman"/>
          <w:szCs w:val="28"/>
        </w:rPr>
      </w:pPr>
      <w:r>
        <w:rPr>
          <w:rFonts w:cs="Times New Roman"/>
          <w:szCs w:val="28"/>
        </w:rPr>
      </w:r>
    </w:p>
    <w:p>
      <w:pPr>
        <w:pStyle w:val="Normal"/>
        <w:spacing w:lineRule="auto" w:line="276" w:before="0" w:after="0"/>
        <w:jc w:val="both"/>
        <w:rPr>
          <w:rFonts w:ascii="Times New Roman" w:hAnsi="Times New Roman"/>
        </w:rPr>
      </w:pPr>
      <w:bookmarkStart w:id="2" w:name="_Hlk131050133"/>
      <w:bookmarkEnd w:id="2"/>
      <w:r>
        <w:rPr>
          <w:rFonts w:cs="Times New Roman"/>
          <w:szCs w:val="28"/>
        </w:rPr>
        <w:t xml:space="preserve">Para a contratação do sistema </w:t>
      </w:r>
      <w:r>
        <w:rPr>
          <w:rFonts w:cs="Times New Roman"/>
          <w:i/>
          <w:iCs/>
          <w:szCs w:val="28"/>
        </w:rPr>
        <w:t>elicitações</w:t>
      </w:r>
      <w:r>
        <w:rPr>
          <w:rFonts w:cs="Times New Roman"/>
          <w:szCs w:val="28"/>
        </w:rPr>
        <w:t>, haverá necessidade de se firmar termo de cooperação técnica entre as partes, com necessidade de pagamento por usuário, havendo dispêndio tanto pelo ente, quanto pelos fornecedores.</w:t>
      </w:r>
    </w:p>
    <w:p>
      <w:pPr>
        <w:pStyle w:val="Normal"/>
        <w:spacing w:lineRule="auto" w:line="276" w:before="0" w:after="0"/>
        <w:jc w:val="both"/>
        <w:rPr>
          <w:rFonts w:ascii="Times New Roman" w:hAnsi="Times New Roman" w:cs="Times New Roman"/>
          <w:szCs w:val="28"/>
        </w:rPr>
      </w:pPr>
      <w:r>
        <w:rPr>
          <w:rFonts w:cs="Times New Roman"/>
          <w:szCs w:val="28"/>
        </w:rPr>
      </w:r>
    </w:p>
    <w:p>
      <w:pPr>
        <w:pStyle w:val="Normal"/>
        <w:spacing w:lineRule="auto" w:line="276" w:before="0" w:after="0"/>
        <w:jc w:val="both"/>
        <w:rPr>
          <w:rFonts w:ascii="Times New Roman" w:hAnsi="Times New Roman"/>
        </w:rPr>
      </w:pPr>
      <w:r>
        <w:rPr>
          <w:rFonts w:cs="Times New Roman"/>
          <w:szCs w:val="28"/>
        </w:rPr>
        <w:t>Em relação ao sistema Portal de Compras Públicas, verifica-se que a plataforma, no período de 2016 a março de 2023, possui mais de 345 mil fornecedores cadastrados, mais de 4.607.622 itens negociados, mais de 97.743 pregões realizados e um volume transacionado de quase 100 bilhões de reais.</w:t>
      </w:r>
    </w:p>
    <w:p>
      <w:pPr>
        <w:pStyle w:val="Normal"/>
        <w:spacing w:lineRule="auto" w:line="276" w:before="0" w:after="0"/>
        <w:jc w:val="both"/>
        <w:rPr>
          <w:rFonts w:ascii="Times New Roman" w:hAnsi="Times New Roman" w:cs="Times New Roman"/>
          <w:szCs w:val="28"/>
        </w:rPr>
      </w:pPr>
      <w:r>
        <w:rPr>
          <w:rFonts w:cs="Times New Roman"/>
          <w:szCs w:val="28"/>
        </w:rPr>
      </w:r>
    </w:p>
    <w:p>
      <w:pPr>
        <w:pStyle w:val="Normal"/>
        <w:spacing w:lineRule="auto" w:line="276" w:before="0" w:after="0"/>
        <w:jc w:val="both"/>
        <w:rPr>
          <w:rFonts w:ascii="Times New Roman" w:hAnsi="Times New Roman"/>
        </w:rPr>
      </w:pPr>
      <w:r>
        <w:rPr>
          <w:rFonts w:cs="Times New Roman"/>
          <w:szCs w:val="28"/>
        </w:rPr>
        <w:t>O sistema Portal de Compras Públicas tem mais de 15 (quinze) anos no mercado, disponibilizando uma plataforma que imprime agilidade nos processos de compras públicas e potencializando negócios para fornecedores, além de trazer economia e segurança para a Câmara Municipal de Vereadores.</w:t>
      </w:r>
    </w:p>
    <w:p>
      <w:pPr>
        <w:pStyle w:val="Normal"/>
        <w:spacing w:lineRule="auto" w:line="276" w:before="0" w:after="0"/>
        <w:jc w:val="both"/>
        <w:rPr>
          <w:rFonts w:ascii="Times New Roman" w:hAnsi="Times New Roman" w:cs="Times New Roman"/>
          <w:szCs w:val="28"/>
        </w:rPr>
      </w:pPr>
      <w:r>
        <w:rPr>
          <w:rFonts w:cs="Times New Roman"/>
          <w:szCs w:val="28"/>
        </w:rPr>
      </w:r>
    </w:p>
    <w:p>
      <w:pPr>
        <w:pStyle w:val="Normal"/>
        <w:spacing w:lineRule="auto" w:line="276" w:before="0" w:after="0"/>
        <w:jc w:val="both"/>
        <w:rPr>
          <w:rFonts w:ascii="Times New Roman" w:hAnsi="Times New Roman"/>
        </w:rPr>
      </w:pPr>
      <w:r>
        <w:rPr>
          <w:rFonts w:cs="Times New Roman"/>
        </w:rPr>
        <w:t xml:space="preserve">Sendo assim, diante das características do sistema e da demanda existente, optou-se pela sua contratação direta, por meio de dispensa de licitação em razão do valor. </w:t>
      </w:r>
    </w:p>
    <w:p>
      <w:pPr>
        <w:pStyle w:val="Normal"/>
        <w:spacing w:lineRule="auto" w:line="276" w:before="0" w:after="0"/>
        <w:rPr>
          <w:rFonts w:ascii="Times New Roman" w:hAnsi="Times New Roman" w:cs="Times New Roman"/>
          <w:szCs w:val="28"/>
        </w:rPr>
      </w:pPr>
      <w:r>
        <w:rPr>
          <w:rFonts w:cs="Times New Roman"/>
          <w:szCs w:val="28"/>
        </w:rPr>
      </w:r>
    </w:p>
    <w:p>
      <w:pPr>
        <w:pStyle w:val="Normal"/>
        <w:spacing w:lineRule="auto" w:line="276" w:before="0" w:after="0"/>
        <w:jc w:val="both"/>
        <w:rPr>
          <w:rFonts w:ascii="Times New Roman" w:hAnsi="Times New Roman"/>
        </w:rPr>
      </w:pPr>
      <w:r>
        <w:rPr>
          <w:rFonts w:cs="Times New Roman"/>
          <w:b/>
          <w:szCs w:val="28"/>
        </w:rPr>
        <w:t>f) Relação entre a demanda prevista e a quantidade a ser contratada:</w:t>
      </w:r>
    </w:p>
    <w:p>
      <w:pPr>
        <w:pStyle w:val="Normal"/>
        <w:spacing w:lineRule="auto" w:line="276" w:before="0" w:after="0"/>
        <w:rPr>
          <w:rFonts w:ascii="Times New Roman" w:hAnsi="Times New Roman" w:cs="Times New Roman"/>
          <w:szCs w:val="28"/>
        </w:rPr>
      </w:pPr>
      <w:r>
        <w:rPr>
          <w:rFonts w:cs="Times New Roman"/>
          <w:szCs w:val="28"/>
        </w:rPr>
      </w:r>
    </w:p>
    <w:p>
      <w:pPr>
        <w:pStyle w:val="Normal"/>
        <w:spacing w:lineRule="auto" w:line="276" w:before="0" w:after="0"/>
        <w:jc w:val="both"/>
        <w:rPr>
          <w:rFonts w:ascii="Times New Roman" w:hAnsi="Times New Roman"/>
        </w:rPr>
      </w:pPr>
      <w:r>
        <w:rPr>
          <w:rFonts w:cs="Times New Roman"/>
          <w:szCs w:val="28"/>
        </w:rPr>
        <w:t>A demanda é definida pelas licitações a serem realizadas e pela quantidade de usuários da Câmara Municipal de Vereadores que poderão utilizar o sistema.</w:t>
      </w:r>
    </w:p>
    <w:p>
      <w:pPr>
        <w:pStyle w:val="Normal"/>
        <w:spacing w:lineRule="auto" w:line="276" w:before="0" w:after="0"/>
        <w:jc w:val="both"/>
        <w:rPr>
          <w:rFonts w:ascii="Times New Roman" w:hAnsi="Times New Roman" w:cs="Times New Roman"/>
          <w:szCs w:val="28"/>
        </w:rPr>
      </w:pPr>
      <w:r>
        <w:rPr>
          <w:rFonts w:cs="Times New Roman"/>
          <w:szCs w:val="28"/>
        </w:rPr>
      </w:r>
    </w:p>
    <w:p>
      <w:pPr>
        <w:pStyle w:val="Normal"/>
        <w:spacing w:lineRule="auto" w:line="276" w:before="0" w:after="0"/>
        <w:jc w:val="both"/>
        <w:rPr>
          <w:rFonts w:ascii="Times New Roman" w:hAnsi="Times New Roman"/>
        </w:rPr>
      </w:pPr>
      <w:r>
        <w:rPr>
          <w:rFonts w:cs="Times New Roman"/>
        </w:rPr>
        <w:t xml:space="preserve">Os procedimentos demandados, </w:t>
      </w:r>
      <w:r>
        <w:rPr>
          <w:rFonts w:cs="Times New Roman"/>
          <w:szCs w:val="28"/>
        </w:rPr>
        <w:t>não afastadas outras porventura existentes ou criadas no sistema,</w:t>
      </w:r>
      <w:r>
        <w:rPr>
          <w:rFonts w:cs="Times New Roman"/>
        </w:rPr>
        <w:t xml:space="preserve"> são:</w:t>
      </w:r>
    </w:p>
    <w:p>
      <w:pPr>
        <w:pStyle w:val="ListParagraph"/>
        <w:numPr>
          <w:ilvl w:val="0"/>
          <w:numId w:val="17"/>
        </w:numPr>
        <w:spacing w:lineRule="auto" w:line="252" w:before="0" w:after="160"/>
        <w:contextualSpacing/>
        <w:rPr>
          <w:rFonts w:ascii="Times New Roman" w:hAnsi="Times New Roman"/>
        </w:rPr>
      </w:pPr>
      <w:r>
        <w:rPr>
          <w:rFonts w:cs="Calibri" w:ascii="Times New Roman" w:hAnsi="Times New Roman"/>
        </w:rPr>
        <w:t>Pregão eletrônico;</w:t>
      </w:r>
    </w:p>
    <w:p>
      <w:pPr>
        <w:pStyle w:val="ListParagraph"/>
        <w:numPr>
          <w:ilvl w:val="0"/>
          <w:numId w:val="17"/>
        </w:numPr>
        <w:spacing w:lineRule="auto" w:line="252" w:before="0" w:after="160"/>
        <w:contextualSpacing/>
        <w:rPr>
          <w:rFonts w:ascii="Times New Roman" w:hAnsi="Times New Roman"/>
        </w:rPr>
      </w:pPr>
      <w:r>
        <w:rPr>
          <w:rFonts w:cs="Calibri" w:ascii="Times New Roman" w:hAnsi="Times New Roman"/>
        </w:rPr>
        <w:t>Pregão progressivo;</w:t>
      </w:r>
    </w:p>
    <w:p>
      <w:pPr>
        <w:pStyle w:val="ListParagraph"/>
        <w:numPr>
          <w:ilvl w:val="0"/>
          <w:numId w:val="17"/>
        </w:numPr>
        <w:spacing w:lineRule="auto" w:line="252" w:before="0" w:after="160"/>
        <w:contextualSpacing/>
        <w:rPr>
          <w:rFonts w:ascii="Times New Roman" w:hAnsi="Times New Roman"/>
        </w:rPr>
      </w:pPr>
      <w:r>
        <w:rPr>
          <w:rFonts w:cs="Calibri" w:ascii="Times New Roman" w:hAnsi="Times New Roman"/>
        </w:rPr>
        <w:t>Pregão para registro de preços eletrônico;</w:t>
      </w:r>
    </w:p>
    <w:p>
      <w:pPr>
        <w:pStyle w:val="ListParagraph"/>
        <w:numPr>
          <w:ilvl w:val="0"/>
          <w:numId w:val="17"/>
        </w:numPr>
        <w:spacing w:lineRule="auto" w:line="252" w:before="0" w:after="160"/>
        <w:contextualSpacing/>
        <w:rPr>
          <w:rFonts w:ascii="Times New Roman" w:hAnsi="Times New Roman"/>
        </w:rPr>
      </w:pPr>
      <w:r>
        <w:rPr>
          <w:rFonts w:cs="Calibri" w:ascii="Times New Roman" w:hAnsi="Times New Roman"/>
        </w:rPr>
        <w:t>Cotação eletrônica para aquisição de bens e serviços comuns conforme a Lei;</w:t>
      </w:r>
    </w:p>
    <w:p>
      <w:pPr>
        <w:pStyle w:val="ListParagraph"/>
        <w:numPr>
          <w:ilvl w:val="0"/>
          <w:numId w:val="17"/>
        </w:numPr>
        <w:spacing w:lineRule="auto" w:line="252" w:before="0" w:after="160"/>
        <w:contextualSpacing/>
        <w:rPr>
          <w:rFonts w:ascii="Times New Roman" w:hAnsi="Times New Roman"/>
        </w:rPr>
      </w:pPr>
      <w:r>
        <w:rPr>
          <w:rFonts w:cs="Calibri" w:ascii="Times New Roman" w:hAnsi="Times New Roman"/>
        </w:rPr>
        <w:t>Cotação eletrônica para elaboração de preços de referência;</w:t>
      </w:r>
    </w:p>
    <w:p>
      <w:pPr>
        <w:pStyle w:val="ListParagraph"/>
        <w:numPr>
          <w:ilvl w:val="0"/>
          <w:numId w:val="17"/>
        </w:numPr>
        <w:spacing w:lineRule="auto" w:line="252" w:before="0" w:after="160"/>
        <w:contextualSpacing/>
        <w:rPr>
          <w:rFonts w:ascii="Times New Roman" w:hAnsi="Times New Roman"/>
        </w:rPr>
      </w:pPr>
      <w:r>
        <w:rPr>
          <w:rFonts w:cs="Calibri" w:ascii="Times New Roman" w:hAnsi="Times New Roman"/>
        </w:rPr>
        <w:t>Concorrência eletrônica;</w:t>
      </w:r>
    </w:p>
    <w:p>
      <w:pPr>
        <w:pStyle w:val="ListParagraph"/>
        <w:numPr>
          <w:ilvl w:val="0"/>
          <w:numId w:val="17"/>
        </w:numPr>
        <w:spacing w:lineRule="auto" w:line="252" w:before="0" w:after="160"/>
        <w:contextualSpacing/>
        <w:rPr>
          <w:rFonts w:ascii="Times New Roman" w:hAnsi="Times New Roman"/>
        </w:rPr>
      </w:pPr>
      <w:r>
        <w:rPr>
          <w:rFonts w:cs="Calibri" w:ascii="Times New Roman" w:hAnsi="Times New Roman"/>
        </w:rPr>
        <w:t>Chamada Pública da agricultura familiar;</w:t>
      </w:r>
    </w:p>
    <w:p>
      <w:pPr>
        <w:pStyle w:val="ListParagraph"/>
        <w:numPr>
          <w:ilvl w:val="0"/>
          <w:numId w:val="17"/>
        </w:numPr>
        <w:spacing w:lineRule="auto" w:line="252" w:before="0" w:after="160"/>
        <w:contextualSpacing/>
        <w:rPr>
          <w:rFonts w:ascii="Times New Roman" w:hAnsi="Times New Roman"/>
        </w:rPr>
      </w:pPr>
      <w:r>
        <w:rPr>
          <w:rFonts w:cs="Calibri" w:ascii="Times New Roman" w:hAnsi="Times New Roman"/>
        </w:rPr>
        <w:t>Chamamento público; e</w:t>
      </w:r>
    </w:p>
    <w:p>
      <w:pPr>
        <w:pStyle w:val="ListParagraph"/>
        <w:numPr>
          <w:ilvl w:val="0"/>
          <w:numId w:val="17"/>
        </w:numPr>
        <w:spacing w:lineRule="auto" w:line="252" w:before="0" w:after="160"/>
        <w:contextualSpacing/>
        <w:rPr>
          <w:rFonts w:ascii="Times New Roman" w:hAnsi="Times New Roman"/>
        </w:rPr>
      </w:pPr>
      <w:r>
        <w:rPr>
          <w:rFonts w:cs="Calibri" w:ascii="Times New Roman" w:hAnsi="Times New Roman"/>
        </w:rPr>
        <w:t>Leilão eletrônico.</w:t>
      </w:r>
    </w:p>
    <w:p>
      <w:pPr>
        <w:pStyle w:val="Normal"/>
        <w:spacing w:lineRule="auto" w:line="276" w:before="0" w:after="0"/>
        <w:jc w:val="both"/>
        <w:rPr>
          <w:rFonts w:ascii="Times New Roman" w:hAnsi="Times New Roman"/>
        </w:rPr>
      </w:pPr>
      <w:r>
        <w:rPr>
          <w:rFonts w:cs="Times New Roman"/>
          <w:szCs w:val="28"/>
        </w:rPr>
        <w:t>As demandas de usuários/servidores podem ser visualizadas a seguir:</w:t>
      </w:r>
    </w:p>
    <w:tbl>
      <w:tblPr>
        <w:tblW w:w="8494" w:type="dxa"/>
        <w:jc w:val="left"/>
        <w:tblInd w:w="108" w:type="dxa"/>
        <w:tblLayout w:type="fixed"/>
        <w:tblCellMar>
          <w:top w:w="0" w:type="dxa"/>
          <w:left w:w="108" w:type="dxa"/>
          <w:bottom w:w="0" w:type="dxa"/>
          <w:right w:w="108" w:type="dxa"/>
        </w:tblCellMar>
      </w:tblPr>
      <w:tblGrid>
        <w:gridCol w:w="2938"/>
        <w:gridCol w:w="2267"/>
        <w:gridCol w:w="3289"/>
      </w:tblGrid>
      <w:tr>
        <w:trPr/>
        <w:tc>
          <w:tcPr>
            <w:tcW w:w="2938"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eastAsia="Calibri" w:cs="0" w:ascii="Times New Roman" w:hAnsi="Times New Roman"/>
                <w:b/>
                <w:sz w:val="22"/>
                <w:szCs w:val="22"/>
              </w:rPr>
              <w:t>SETOR</w:t>
            </w:r>
          </w:p>
        </w:tc>
        <w:tc>
          <w:tcPr>
            <w:tcW w:w="2267"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eastAsia="Calibri" w:cs="0" w:ascii="Times New Roman" w:hAnsi="Times New Roman"/>
                <w:b/>
                <w:sz w:val="22"/>
                <w:szCs w:val="22"/>
              </w:rPr>
              <w:t>QTD. USUÁRIOS</w:t>
            </w:r>
          </w:p>
        </w:tc>
        <w:tc>
          <w:tcPr>
            <w:tcW w:w="328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eastAsia="Calibri" w:cs="0" w:ascii="Times New Roman" w:hAnsi="Times New Roman"/>
                <w:b/>
                <w:sz w:val="22"/>
                <w:szCs w:val="22"/>
              </w:rPr>
              <w:t>Tipo de acesso</w:t>
            </w:r>
          </w:p>
        </w:tc>
      </w:tr>
      <w:tr>
        <w:trPr/>
        <w:tc>
          <w:tcPr>
            <w:tcW w:w="2938"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ascii="Times New Roman" w:hAnsi="Times New Roman"/>
                <w:b/>
              </w:rPr>
              <w:t>Câmara Municipal de Vereadores-RS</w:t>
            </w:r>
          </w:p>
        </w:tc>
        <w:tc>
          <w:tcPr>
            <w:tcW w:w="2267"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ascii="Times New Roman" w:hAnsi="Times New Roman"/>
                <w:b/>
              </w:rPr>
              <w:t>0</w:t>
            </w:r>
            <w:r>
              <w:rPr>
                <w:rFonts w:ascii="Times New Roman" w:hAnsi="Times New Roman"/>
                <w:b/>
              </w:rPr>
              <w:t>3</w:t>
            </w:r>
            <w:r>
              <w:rPr>
                <w:rFonts w:ascii="Times New Roman" w:hAnsi="Times New Roman"/>
                <w:b/>
              </w:rPr>
              <w:t xml:space="preserve"> USUÁRIO</w:t>
            </w:r>
            <w:r>
              <w:rPr>
                <w:rFonts w:ascii="Times New Roman" w:hAnsi="Times New Roman"/>
                <w:b/>
              </w:rPr>
              <w:t>S</w:t>
            </w:r>
          </w:p>
        </w:tc>
        <w:tc>
          <w:tcPr>
            <w:tcW w:w="328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eastAsia="Calibri" w:cs="0" w:ascii="Times New Roman" w:hAnsi="Times New Roman"/>
                <w:bCs/>
                <w:sz w:val="22"/>
                <w:szCs w:val="22"/>
              </w:rPr>
              <w:t>Estudo Técnico Preliminar, Termo de Referência, Projeto Básico.</w:t>
            </w:r>
          </w:p>
        </w:tc>
      </w:tr>
      <w:tr>
        <w:trPr/>
        <w:tc>
          <w:tcPr>
            <w:tcW w:w="2938"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b/>
                <w:b/>
              </w:rPr>
            </w:pPr>
            <w:r>
              <w:rPr>
                <w:rFonts w:ascii="Times New Roman" w:hAnsi="Times New Roman"/>
                <w:b/>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b/>
                <w:b/>
              </w:rPr>
            </w:pPr>
            <w:r>
              <w:rPr>
                <w:rFonts w:ascii="Times New Roman" w:hAnsi="Times New Roman"/>
                <w:b/>
              </w:rPr>
            </w:r>
          </w:p>
        </w:tc>
        <w:tc>
          <w:tcPr>
            <w:tcW w:w="328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eastAsia="Calibri" w:cs="0" w:ascii="Times New Roman" w:hAnsi="Times New Roman"/>
                <w:bCs/>
                <w:sz w:val="22"/>
                <w:szCs w:val="22"/>
              </w:rPr>
              <w:t>Pesquisa de Preço</w:t>
            </w:r>
          </w:p>
        </w:tc>
      </w:tr>
      <w:tr>
        <w:trPr/>
        <w:tc>
          <w:tcPr>
            <w:tcW w:w="2938"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b/>
                <w:b/>
              </w:rPr>
            </w:pPr>
            <w:r>
              <w:rPr>
                <w:rFonts w:ascii="Times New Roman" w:hAnsi="Times New Roman"/>
                <w:b/>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b/>
                <w:b/>
              </w:rPr>
            </w:pPr>
            <w:r>
              <w:rPr>
                <w:rFonts w:ascii="Times New Roman" w:hAnsi="Times New Roman"/>
                <w:b/>
              </w:rPr>
            </w:r>
          </w:p>
        </w:tc>
        <w:tc>
          <w:tcPr>
            <w:tcW w:w="328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eastAsia="Calibri" w:cs="0" w:ascii="Times New Roman" w:hAnsi="Times New Roman"/>
                <w:bCs/>
                <w:sz w:val="22"/>
                <w:szCs w:val="22"/>
              </w:rPr>
              <w:t>Dispensa de Licitação</w:t>
            </w:r>
          </w:p>
        </w:tc>
      </w:tr>
      <w:tr>
        <w:trPr/>
        <w:tc>
          <w:tcPr>
            <w:tcW w:w="2938"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b/>
                <w:b/>
              </w:rPr>
            </w:pPr>
            <w:r>
              <w:rPr>
                <w:rFonts w:ascii="Times New Roman" w:hAnsi="Times New Roman"/>
                <w:b/>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b/>
                <w:b/>
              </w:rPr>
            </w:pPr>
            <w:r>
              <w:rPr>
                <w:rFonts w:ascii="Times New Roman" w:hAnsi="Times New Roman"/>
                <w:b/>
              </w:rPr>
            </w:r>
          </w:p>
        </w:tc>
        <w:tc>
          <w:tcPr>
            <w:tcW w:w="328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eastAsia="Calibri" w:cs="0" w:ascii="Times New Roman" w:hAnsi="Times New Roman"/>
                <w:bCs/>
                <w:sz w:val="22"/>
                <w:szCs w:val="22"/>
              </w:rPr>
              <w:t>Comissão de Licitação</w:t>
            </w:r>
          </w:p>
        </w:tc>
      </w:tr>
      <w:tr>
        <w:trPr/>
        <w:tc>
          <w:tcPr>
            <w:tcW w:w="2938"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b/>
                <w:b/>
              </w:rPr>
            </w:pPr>
            <w:r>
              <w:rPr>
                <w:rFonts w:ascii="Times New Roman" w:hAnsi="Times New Roman"/>
                <w:b/>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b/>
                <w:b/>
              </w:rPr>
            </w:pPr>
            <w:r>
              <w:rPr>
                <w:rFonts w:ascii="Times New Roman" w:hAnsi="Times New Roman"/>
                <w:b/>
              </w:rPr>
            </w:r>
          </w:p>
        </w:tc>
        <w:tc>
          <w:tcPr>
            <w:tcW w:w="328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eastAsia="Calibri" w:cs="0" w:ascii="Times New Roman" w:hAnsi="Times New Roman"/>
                <w:bCs/>
                <w:sz w:val="22"/>
                <w:szCs w:val="22"/>
              </w:rPr>
              <w:t>Pregoeiro / Agente de Contratação</w:t>
            </w:r>
          </w:p>
        </w:tc>
      </w:tr>
      <w:tr>
        <w:trPr/>
        <w:tc>
          <w:tcPr>
            <w:tcW w:w="2938"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b/>
                <w:b/>
              </w:rPr>
            </w:pPr>
            <w:r>
              <w:rPr>
                <w:rFonts w:ascii="Times New Roman" w:hAnsi="Times New Roman"/>
                <w:b/>
              </w:rPr>
            </w:r>
          </w:p>
        </w:tc>
        <w:tc>
          <w:tcPr>
            <w:tcW w:w="2267" w:type="dxa"/>
            <w:vMerge w:val="continue"/>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b/>
                <w:b/>
              </w:rPr>
            </w:pPr>
            <w:r>
              <w:rPr>
                <w:rFonts w:ascii="Times New Roman" w:hAnsi="Times New Roman"/>
                <w:b/>
              </w:rPr>
            </w:r>
          </w:p>
        </w:tc>
        <w:tc>
          <w:tcPr>
            <w:tcW w:w="3289"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eastAsia="Calibri" w:cs="0" w:ascii="Times New Roman" w:hAnsi="Times New Roman"/>
                <w:bCs/>
                <w:sz w:val="22"/>
                <w:szCs w:val="22"/>
              </w:rPr>
              <w:t>Ordenador de Despesa</w:t>
            </w:r>
          </w:p>
        </w:tc>
      </w:tr>
      <w:tr>
        <w:trPr/>
        <w:tc>
          <w:tcPr>
            <w:tcW w:w="8494" w:type="dxa"/>
            <w:gridSpan w:val="3"/>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9"/>
              </w:tabs>
              <w:spacing w:lineRule="auto" w:line="240" w:before="0" w:after="0"/>
              <w:ind w:left="0" w:right="0" w:hanging="0"/>
              <w:contextualSpacing/>
              <w:jc w:val="center"/>
              <w:rPr>
                <w:rFonts w:ascii="Times New Roman" w:hAnsi="Times New Roman"/>
              </w:rPr>
            </w:pPr>
            <w:r>
              <w:rPr>
                <w:rFonts w:eastAsia="Calibri" w:cs="0" w:ascii="Times New Roman" w:hAnsi="Times New Roman"/>
                <w:b/>
                <w:sz w:val="22"/>
                <w:szCs w:val="22"/>
              </w:rPr>
              <w:t>TOTAL DE USUÁRIOS: 0</w:t>
            </w:r>
            <w:r>
              <w:rPr>
                <w:rFonts w:eastAsia="Calibri" w:cs="0" w:ascii="Times New Roman" w:hAnsi="Times New Roman"/>
                <w:b/>
                <w:sz w:val="22"/>
                <w:szCs w:val="22"/>
              </w:rPr>
              <w:t>3</w:t>
            </w:r>
            <w:r>
              <w:rPr>
                <w:rFonts w:eastAsia="Calibri" w:cs="0" w:ascii="Times New Roman" w:hAnsi="Times New Roman"/>
                <w:b/>
                <w:sz w:val="22"/>
                <w:szCs w:val="22"/>
              </w:rPr>
              <w:t xml:space="preserve"> (</w:t>
            </w:r>
            <w:r>
              <w:rPr>
                <w:rFonts w:eastAsia="Calibri" w:cs="0" w:ascii="Times New Roman" w:hAnsi="Times New Roman"/>
                <w:b/>
                <w:sz w:val="22"/>
                <w:szCs w:val="22"/>
              </w:rPr>
              <w:t>TRÊS</w:t>
            </w:r>
            <w:r>
              <w:rPr>
                <w:rFonts w:eastAsia="Calibri" w:cs="0" w:ascii="Times New Roman" w:hAnsi="Times New Roman"/>
                <w:b/>
                <w:sz w:val="22"/>
                <w:szCs w:val="22"/>
              </w:rPr>
              <w:t>) USUÁRIO</w:t>
            </w:r>
            <w:r>
              <w:rPr>
                <w:rFonts w:eastAsia="Calibri" w:cs="0" w:ascii="Times New Roman" w:hAnsi="Times New Roman"/>
                <w:b/>
                <w:sz w:val="22"/>
                <w:szCs w:val="22"/>
              </w:rPr>
              <w:t>S</w:t>
            </w:r>
          </w:p>
        </w:tc>
      </w:tr>
    </w:tbl>
    <w:p>
      <w:pPr>
        <w:pStyle w:val="Normal"/>
        <w:widowControl w:val="false"/>
        <w:spacing w:lineRule="auto" w:line="276" w:before="0" w:after="0"/>
        <w:jc w:val="both"/>
        <w:rPr>
          <w:rFonts w:ascii="Times New Roman" w:hAnsi="Times New Roman" w:cs="Times New Roman"/>
          <w:b/>
          <w:b/>
          <w:szCs w:val="28"/>
        </w:rPr>
      </w:pPr>
      <w:r>
        <w:rPr>
          <w:rFonts w:cs="Times New Roman"/>
          <w:b/>
          <w:szCs w:val="28"/>
        </w:rPr>
      </w:r>
    </w:p>
    <w:p>
      <w:pPr>
        <w:pStyle w:val="ListParagraph"/>
        <w:numPr>
          <w:ilvl w:val="0"/>
          <w:numId w:val="0"/>
        </w:numPr>
        <w:spacing w:lineRule="auto" w:line="240" w:before="0" w:after="0"/>
        <w:ind w:left="0" w:hanging="0"/>
        <w:contextualSpacing/>
        <w:jc w:val="both"/>
        <w:rPr>
          <w:rFonts w:ascii="Times New Roman" w:hAnsi="Times New Roman"/>
        </w:rPr>
      </w:pPr>
      <w:r>
        <w:rPr>
          <w:rFonts w:cs="Times New Roman" w:ascii="Times New Roman" w:hAnsi="Times New Roman"/>
          <w:b/>
          <w:szCs w:val="28"/>
        </w:rPr>
        <w:t>g) Metodologia de avaliação da execução dos serviços</w:t>
      </w:r>
    </w:p>
    <w:p>
      <w:pPr>
        <w:pStyle w:val="Normal"/>
        <w:spacing w:lineRule="auto" w:line="276" w:before="0" w:after="0"/>
        <w:rPr>
          <w:rFonts w:ascii="Times New Roman" w:hAnsi="Times New Roman" w:cs="Times New Roman"/>
          <w:szCs w:val="28"/>
        </w:rPr>
      </w:pPr>
      <w:r>
        <w:rPr>
          <w:rFonts w:cs="Times New Roman"/>
          <w:szCs w:val="28"/>
        </w:rPr>
      </w:r>
    </w:p>
    <w:p>
      <w:pPr>
        <w:pStyle w:val="Normal"/>
        <w:spacing w:lineRule="auto" w:line="276" w:before="0" w:after="0"/>
        <w:jc w:val="both"/>
        <w:rPr>
          <w:rFonts w:ascii="Times New Roman" w:hAnsi="Times New Roman"/>
        </w:rPr>
      </w:pPr>
      <w:r>
        <w:rPr>
          <w:rFonts w:cs="Times New Roman"/>
          <w:szCs w:val="28"/>
        </w:rPr>
        <w:t>Será adotado registro próprio pelo fiscal do contrato para avaliação dos serviços contratados, que observará os seguintes requisitos:</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Cs w:val="28"/>
        </w:rPr>
        <w:t>Disponibilidade;</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Cs w:val="28"/>
        </w:rPr>
        <w:t>Integração de módulos;</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Cs w:val="28"/>
        </w:rPr>
        <w:t>Interface gráfica;</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Cs w:val="28"/>
        </w:rPr>
        <w:t>Facilidade de acesso aos usuários; e</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Cs w:val="28"/>
        </w:rPr>
        <w:t>Tempo médio de recuperação em caso de indisponibilidade do sistema.</w:t>
      </w:r>
    </w:p>
    <w:p>
      <w:pPr>
        <w:pStyle w:val="ListParagraph"/>
        <w:spacing w:lineRule="auto" w:line="276" w:before="0" w:after="0"/>
        <w:ind w:left="0" w:right="0" w:hanging="0"/>
        <w:contextualSpacing/>
        <w:jc w:val="both"/>
        <w:rPr>
          <w:rFonts w:ascii="Times New Roman" w:hAnsi="Times New Roman" w:cs="Times New Roman"/>
          <w:szCs w:val="28"/>
        </w:rPr>
      </w:pPr>
      <w:r>
        <w:rPr>
          <w:rFonts w:cs="Times New Roman" w:ascii="Times New Roman" w:hAnsi="Times New Roman"/>
          <w:szCs w:val="28"/>
        </w:rPr>
      </w:r>
    </w:p>
    <w:p>
      <w:pPr>
        <w:pStyle w:val="Normal"/>
        <w:spacing w:lineRule="auto" w:line="276" w:before="0" w:after="0"/>
        <w:jc w:val="both"/>
        <w:rPr>
          <w:rFonts w:ascii="Times New Roman" w:hAnsi="Times New Roman"/>
        </w:rPr>
      </w:pPr>
      <w:r>
        <w:rPr>
          <w:rFonts w:cs="Times New Roman"/>
          <w:szCs w:val="28"/>
        </w:rPr>
        <w:t>Não será considerado descumprimento de disponibilidade a ocorrência das seguintes situações:</w:t>
      </w:r>
    </w:p>
    <w:p>
      <w:pPr>
        <w:pStyle w:val="Normal"/>
        <w:spacing w:lineRule="auto" w:line="276" w:before="0" w:after="0"/>
        <w:jc w:val="both"/>
        <w:rPr>
          <w:rFonts w:ascii="Times New Roman" w:hAnsi="Times New Roman" w:cs="Times New Roman"/>
          <w:szCs w:val="28"/>
        </w:rPr>
      </w:pPr>
      <w:r>
        <w:rPr>
          <w:rFonts w:cs="Times New Roman"/>
          <w:szCs w:val="28"/>
        </w:rPr>
      </w:r>
    </w:p>
    <w:p>
      <w:pPr>
        <w:pStyle w:val="ListParagraph"/>
        <w:numPr>
          <w:ilvl w:val="0"/>
          <w:numId w:val="0"/>
        </w:numPr>
        <w:spacing w:lineRule="auto" w:line="240" w:before="0" w:after="0"/>
        <w:ind w:left="0" w:hanging="0"/>
        <w:contextualSpacing/>
        <w:jc w:val="both"/>
        <w:rPr>
          <w:rFonts w:ascii="Times New Roman" w:hAnsi="Times New Roman"/>
        </w:rPr>
      </w:pPr>
      <w:r>
        <w:rPr>
          <w:rFonts w:cs="Times New Roman" w:ascii="Times New Roman" w:hAnsi="Times New Roman"/>
          <w:szCs w:val="28"/>
        </w:rPr>
        <w:t>a)Interrupções programadas para manutenções preventivas e configurações (</w:t>
      </w:r>
      <w:r>
        <w:rPr>
          <w:rFonts w:cs="Times New Roman" w:ascii="Times New Roman" w:hAnsi="Times New Roman"/>
          <w:i/>
          <w:iCs/>
          <w:szCs w:val="28"/>
          <w:lang w:bidi="he-IL"/>
        </w:rPr>
        <w:t>upgrade</w:t>
      </w:r>
      <w:r>
        <w:rPr>
          <w:rFonts w:cs="Times New Roman" w:ascii="Times New Roman" w:hAnsi="Times New Roman"/>
          <w:szCs w:val="28"/>
        </w:rPr>
        <w:t>, correção de desvios e adequação tecnológica), de iniciativa da CONTRATADA, previamente acordadas e comunicadas à CONTRATANTE.</w:t>
      </w:r>
    </w:p>
    <w:p>
      <w:pPr>
        <w:pStyle w:val="ListParagraph"/>
        <w:numPr>
          <w:ilvl w:val="0"/>
          <w:numId w:val="0"/>
        </w:numPr>
        <w:spacing w:lineRule="auto" w:line="240" w:before="0" w:after="0"/>
        <w:ind w:left="0" w:hanging="0"/>
        <w:contextualSpacing/>
        <w:jc w:val="both"/>
        <w:rPr>
          <w:rFonts w:ascii="Times New Roman" w:hAnsi="Times New Roman"/>
        </w:rPr>
      </w:pPr>
      <w:r>
        <w:rPr>
          <w:rFonts w:cs="Times New Roman" w:ascii="Times New Roman" w:hAnsi="Times New Roman"/>
          <w:szCs w:val="28"/>
        </w:rPr>
        <w:t>b) Incidentes que, após análise, foram descaracterizados como indisponibilidade, devidamente comprovados pela CONTRATADA.</w:t>
      </w:r>
    </w:p>
    <w:p>
      <w:pPr>
        <w:pStyle w:val="Normal"/>
        <w:spacing w:lineRule="auto" w:line="276" w:before="0" w:after="0"/>
        <w:ind w:right="0" w:hanging="0"/>
        <w:jc w:val="both"/>
        <w:rPr>
          <w:rFonts w:ascii="Times New Roman" w:hAnsi="Times New Roman"/>
        </w:rPr>
      </w:pPr>
      <w:r>
        <w:rPr>
          <w:rFonts w:cs="Times New Roman"/>
          <w:szCs w:val="28"/>
        </w:rPr>
        <w:t xml:space="preserve">c) Períodos de manutenção de interesse de órgão controlador; </w:t>
      </w:r>
    </w:p>
    <w:p>
      <w:pPr>
        <w:pStyle w:val="Normal"/>
        <w:spacing w:lineRule="auto" w:line="276" w:before="0" w:after="0"/>
        <w:ind w:right="0" w:hanging="0"/>
        <w:jc w:val="both"/>
        <w:rPr>
          <w:rFonts w:ascii="Times New Roman" w:hAnsi="Times New Roman"/>
        </w:rPr>
      </w:pPr>
      <w:r>
        <w:rPr>
          <w:rFonts w:cs="Times New Roman"/>
          <w:szCs w:val="28"/>
        </w:rPr>
        <w:t>d) Recusa de conexão, lentidão ou degradação de qualidade, nos casos em que as instalações do Centro de Dados da CONTRATADA estejam em perfeitas condições de disponibilidade, devidamente comprovada.</w:t>
      </w:r>
    </w:p>
    <w:p>
      <w:pPr>
        <w:pStyle w:val="Normal"/>
        <w:spacing w:lineRule="auto" w:line="276" w:before="0" w:after="0"/>
        <w:ind w:right="0" w:hanging="0"/>
        <w:jc w:val="both"/>
        <w:rPr>
          <w:rFonts w:ascii="Times New Roman" w:hAnsi="Times New Roman"/>
        </w:rPr>
      </w:pPr>
      <w:r>
        <w:rPr>
          <w:rFonts w:cs="Times New Roman"/>
          <w:szCs w:val="28"/>
        </w:rPr>
        <w:t>e)Falhas ocasionadas por imperícia, imprudência, conduta negligente ou dolosa da CONTRATANTE.</w:t>
      </w:r>
    </w:p>
    <w:p>
      <w:pPr>
        <w:pStyle w:val="Normal"/>
        <w:spacing w:lineRule="auto" w:line="276" w:before="0" w:after="0"/>
        <w:ind w:right="0" w:hanging="0"/>
        <w:jc w:val="both"/>
        <w:rPr>
          <w:rFonts w:ascii="Times New Roman" w:hAnsi="Times New Roman"/>
        </w:rPr>
      </w:pPr>
      <w:r>
        <w:rPr>
          <w:rFonts w:cs="Times New Roman"/>
          <w:szCs w:val="28"/>
        </w:rPr>
        <w:t>f) Problemas de infraestrutura de responsabilidade da CONTRATANTE.</w:t>
      </w:r>
    </w:p>
    <w:p>
      <w:pPr>
        <w:pStyle w:val="Normal"/>
        <w:spacing w:lineRule="auto" w:line="276" w:before="0" w:after="0"/>
        <w:ind w:left="567" w:right="0" w:hanging="0"/>
        <w:jc w:val="both"/>
        <w:rPr>
          <w:rFonts w:ascii="Times New Roman" w:hAnsi="Times New Roman"/>
        </w:rPr>
      </w:pPr>
      <w:r>
        <w:rPr>
          <w:rFonts w:cs="Times New Roman"/>
          <w:szCs w:val="28"/>
        </w:rPr>
        <w:t>g) Motivos de calamidade pública, desastres naturais e força maior, de acordo com a conceituação prevista em regulamentação legal.</w:t>
      </w:r>
    </w:p>
    <w:p>
      <w:pPr>
        <w:pStyle w:val="Normal"/>
        <w:spacing w:lineRule="auto" w:line="276" w:before="0" w:after="0"/>
        <w:rPr>
          <w:rFonts w:ascii="Times New Roman" w:hAnsi="Times New Roman" w:cs="Times New Roman"/>
          <w:szCs w:val="28"/>
        </w:rPr>
      </w:pPr>
      <w:r>
        <w:rPr>
          <w:rFonts w:cs="Times New Roman"/>
          <w:szCs w:val="28"/>
        </w:rPr>
      </w:r>
    </w:p>
    <w:p>
      <w:pPr>
        <w:pStyle w:val="Normal"/>
        <w:spacing w:lineRule="auto" w:line="276" w:before="0" w:after="0"/>
        <w:rPr>
          <w:rFonts w:ascii="Times New Roman" w:hAnsi="Times New Roman" w:cs="Times New Roman"/>
          <w:szCs w:val="28"/>
        </w:rPr>
      </w:pPr>
      <w:r>
        <w:rPr>
          <w:rFonts w:cs="Times New Roman"/>
          <w:szCs w:val="28"/>
        </w:rPr>
      </w:r>
    </w:p>
    <w:p>
      <w:pPr>
        <w:pStyle w:val="ListParagraph"/>
        <w:numPr>
          <w:ilvl w:val="0"/>
          <w:numId w:val="0"/>
        </w:numPr>
        <w:spacing w:lineRule="auto" w:line="240" w:before="0" w:after="0"/>
        <w:ind w:left="0" w:hanging="0"/>
        <w:contextualSpacing/>
        <w:jc w:val="both"/>
        <w:rPr>
          <w:rFonts w:ascii="Times New Roman" w:hAnsi="Times New Roman"/>
        </w:rPr>
      </w:pPr>
      <w:r>
        <w:rPr>
          <w:rFonts w:cs="Times New Roman" w:ascii="Times New Roman" w:hAnsi="Times New Roman"/>
          <w:b/>
          <w:szCs w:val="28"/>
        </w:rPr>
        <w:t>5. EXECUÇÃO DO SERVIÇO E SEU RECEBIMENTO</w:t>
      </w:r>
    </w:p>
    <w:p>
      <w:pPr>
        <w:pStyle w:val="Normal"/>
        <w:spacing w:lineRule="auto" w:line="276" w:before="0" w:after="0"/>
        <w:rPr>
          <w:rFonts w:ascii="Times New Roman" w:hAnsi="Times New Roman" w:cs="Times New Roman"/>
          <w:szCs w:val="28"/>
        </w:rPr>
      </w:pPr>
      <w:r>
        <w:rPr>
          <w:rFonts w:cs="Times New Roman"/>
          <w:szCs w:val="28"/>
        </w:rPr>
      </w:r>
    </w:p>
    <w:p>
      <w:pPr>
        <w:pStyle w:val="ListParagraph"/>
        <w:spacing w:lineRule="auto" w:line="276" w:before="0" w:after="0"/>
        <w:ind w:left="720" w:right="0" w:hanging="0"/>
        <w:contextualSpacing/>
        <w:jc w:val="left"/>
        <w:rPr>
          <w:rFonts w:ascii="Times New Roman" w:hAnsi="Times New Roman"/>
        </w:rPr>
      </w:pPr>
      <w:r>
        <w:rPr>
          <w:rFonts w:cs="Times New Roman" w:ascii="Times New Roman" w:hAnsi="Times New Roman"/>
          <w:szCs w:val="28"/>
        </w:rPr>
        <w:t>Descrição dos prazos e formas de execução do serviço:</w:t>
      </w:r>
    </w:p>
    <w:p>
      <w:pPr>
        <w:pStyle w:val="ListParagraph"/>
        <w:spacing w:lineRule="auto" w:line="276" w:before="0" w:after="0"/>
        <w:ind w:left="0" w:right="0" w:hanging="0"/>
        <w:contextualSpacing/>
        <w:jc w:val="both"/>
        <w:rPr>
          <w:rFonts w:ascii="Times New Roman" w:hAnsi="Times New Roman" w:cs="Times New Roman"/>
          <w:szCs w:val="28"/>
        </w:rPr>
      </w:pPr>
      <w:r>
        <w:rPr>
          <w:rFonts w:cs="Times New Roman" w:ascii="Times New Roman" w:hAnsi="Times New Roman"/>
          <w:szCs w:val="28"/>
        </w:rPr>
      </w:r>
    </w:p>
    <w:p>
      <w:pPr>
        <w:pStyle w:val="ListParagraph"/>
        <w:numPr>
          <w:ilvl w:val="0"/>
          <w:numId w:val="5"/>
        </w:numPr>
        <w:spacing w:lineRule="auto" w:line="240" w:before="0" w:after="0"/>
        <w:contextualSpacing/>
        <w:jc w:val="both"/>
        <w:rPr>
          <w:rFonts w:ascii="Times New Roman" w:hAnsi="Times New Roman"/>
        </w:rPr>
      </w:pPr>
      <w:r>
        <w:rPr>
          <w:rFonts w:cs="Times New Roman" w:ascii="Times New Roman" w:hAnsi="Times New Roman"/>
          <w:szCs w:val="28"/>
        </w:rPr>
        <w:t>O prazo de início da operacionalização do sistema será aquele previsto no contrato;</w:t>
      </w:r>
    </w:p>
    <w:p>
      <w:pPr>
        <w:pStyle w:val="ListParagraph"/>
        <w:numPr>
          <w:ilvl w:val="0"/>
          <w:numId w:val="5"/>
        </w:numPr>
        <w:spacing w:lineRule="auto" w:line="240" w:before="0" w:after="0"/>
        <w:contextualSpacing/>
        <w:jc w:val="both"/>
        <w:rPr>
          <w:rFonts w:ascii="Times New Roman" w:hAnsi="Times New Roman"/>
        </w:rPr>
      </w:pPr>
      <w:r>
        <w:rPr>
          <w:rFonts w:cs="Times New Roman" w:ascii="Times New Roman" w:hAnsi="Times New Roman"/>
          <w:szCs w:val="28"/>
        </w:rPr>
        <w:t>A descrição dos serviços, as características dos módulos, bem como a disponibilidade do sistema, são os discriminados neste Projeto Básico, no Contrato e principalmente na proposta da futura contratada;</w:t>
      </w:r>
    </w:p>
    <w:p>
      <w:pPr>
        <w:pStyle w:val="ListParagraph"/>
        <w:numPr>
          <w:ilvl w:val="0"/>
          <w:numId w:val="5"/>
        </w:numPr>
        <w:spacing w:lineRule="auto" w:line="240" w:before="0" w:after="0"/>
        <w:contextualSpacing/>
        <w:jc w:val="both"/>
        <w:rPr>
          <w:rFonts w:ascii="Times New Roman" w:hAnsi="Times New Roman"/>
        </w:rPr>
      </w:pPr>
      <w:r>
        <w:rPr>
          <w:rFonts w:cs="Times New Roman" w:ascii="Times New Roman" w:hAnsi="Times New Roman"/>
          <w:szCs w:val="28"/>
        </w:rPr>
        <w:t>O horário de disponibilidade do Portal de Compras Públicas será das 08:00 às 18:00 nos dias úteis. Eventualmente, com solicitação prévia da Câmara Municipal de Vereadores, poderá o horário ser estendido, desde que registrado e de comum acordo;</w:t>
      </w:r>
    </w:p>
    <w:p>
      <w:pPr>
        <w:pStyle w:val="ListParagraph"/>
        <w:numPr>
          <w:ilvl w:val="0"/>
          <w:numId w:val="5"/>
        </w:numPr>
        <w:spacing w:lineRule="auto" w:line="240" w:before="0" w:after="0"/>
        <w:contextualSpacing/>
        <w:jc w:val="both"/>
        <w:rPr>
          <w:rFonts w:ascii="Times New Roman" w:hAnsi="Times New Roman"/>
        </w:rPr>
      </w:pPr>
      <w:r>
        <w:rPr>
          <w:rFonts w:cs="Times New Roman" w:ascii="Times New Roman" w:hAnsi="Times New Roman"/>
          <w:szCs w:val="28"/>
        </w:rPr>
        <w:t>A manutenção nos equipamentos e no sistema poderá ser realizada, após formalização da CONTRATANTE, no horário das 19:00 às 07:00;</w:t>
      </w:r>
    </w:p>
    <w:p>
      <w:pPr>
        <w:pStyle w:val="ListParagraph"/>
        <w:numPr>
          <w:ilvl w:val="0"/>
          <w:numId w:val="5"/>
        </w:numPr>
        <w:spacing w:lineRule="auto" w:line="240" w:before="0" w:after="0"/>
        <w:contextualSpacing/>
        <w:jc w:val="both"/>
        <w:rPr>
          <w:rFonts w:ascii="Times New Roman" w:hAnsi="Times New Roman"/>
        </w:rPr>
      </w:pPr>
      <w:r>
        <w:rPr>
          <w:rFonts w:cs="Times New Roman" w:ascii="Times New Roman" w:hAnsi="Times New Roman"/>
          <w:szCs w:val="28"/>
        </w:rPr>
        <w:t>A CONTRATADA deverá notificar a CONTRATANTE, com no mínimo 5 (cinco) dias úteis de antecedência, eventos de parada programada que impactem na disponibilidade do serviço contratado. O CONTRATANTE deverá autorizar formalmente a parada, com no mínimo 3 (três) dias úteis de antecedência ao evento;</w:t>
      </w:r>
    </w:p>
    <w:p>
      <w:pPr>
        <w:pStyle w:val="ListParagraph"/>
        <w:numPr>
          <w:ilvl w:val="0"/>
          <w:numId w:val="5"/>
        </w:numPr>
        <w:spacing w:lineRule="auto" w:line="240" w:before="0" w:after="0"/>
        <w:contextualSpacing/>
        <w:jc w:val="both"/>
        <w:rPr>
          <w:rFonts w:ascii="Times New Roman" w:hAnsi="Times New Roman"/>
        </w:rPr>
      </w:pPr>
      <w:r>
        <w:rPr>
          <w:rFonts w:cs="Times New Roman" w:ascii="Times New Roman" w:hAnsi="Times New Roman"/>
          <w:szCs w:val="28"/>
        </w:rPr>
        <w:t>Os serviços serão executados via internet e no endereço da CONTRATADA, onde se encontrará o ambiente operacional do sistema.</w:t>
      </w:r>
    </w:p>
    <w:p>
      <w:pPr>
        <w:pStyle w:val="ListParagraph"/>
        <w:numPr>
          <w:ilvl w:val="0"/>
          <w:numId w:val="5"/>
        </w:numPr>
        <w:spacing w:lineRule="auto" w:line="240" w:before="0" w:after="0"/>
        <w:contextualSpacing/>
        <w:jc w:val="both"/>
        <w:rPr>
          <w:rFonts w:ascii="Times New Roman" w:hAnsi="Times New Roman"/>
        </w:rPr>
      </w:pPr>
      <w:r>
        <w:rPr>
          <w:rFonts w:cs="Times New Roman" w:ascii="Times New Roman" w:hAnsi="Times New Roman"/>
          <w:szCs w:val="28"/>
        </w:rPr>
        <w:t>As especificidades do sistema deverão ser apresentadas por meio de treinamento;</w:t>
      </w:r>
    </w:p>
    <w:p>
      <w:pPr>
        <w:pStyle w:val="ListParagraph"/>
        <w:numPr>
          <w:ilvl w:val="0"/>
          <w:numId w:val="5"/>
        </w:numPr>
        <w:spacing w:lineRule="auto" w:line="240" w:before="0" w:after="0"/>
        <w:contextualSpacing/>
        <w:jc w:val="both"/>
        <w:rPr>
          <w:rFonts w:ascii="Times New Roman" w:hAnsi="Times New Roman"/>
        </w:rPr>
      </w:pPr>
      <w:r>
        <w:rPr>
          <w:rFonts w:cs="Times New Roman" w:ascii="Times New Roman" w:hAnsi="Times New Roman"/>
          <w:szCs w:val="28"/>
        </w:rPr>
        <w:t>Caberá ao representante da Câmara Municipal de Vereadores, devidamente designado, receber o sistema, incumbindo-lhe a conferência, em atendimento às normas administrativas aplicáveis;</w:t>
      </w:r>
    </w:p>
    <w:p>
      <w:pPr>
        <w:pStyle w:val="ListParagraph"/>
        <w:numPr>
          <w:ilvl w:val="0"/>
          <w:numId w:val="5"/>
        </w:numPr>
        <w:spacing w:lineRule="auto" w:line="240" w:before="0" w:after="0"/>
        <w:contextualSpacing/>
        <w:jc w:val="both"/>
        <w:rPr>
          <w:rFonts w:ascii="Times New Roman" w:hAnsi="Times New Roman"/>
        </w:rPr>
      </w:pPr>
      <w:r>
        <w:rPr>
          <w:rFonts w:cs="Times New Roman" w:ascii="Times New Roman" w:hAnsi="Times New Roman"/>
          <w:szCs w:val="28"/>
        </w:rPr>
        <w:t>O recebimento formal do sistema, tido como a sua disponibilidade e operacionalidade, está condicionado à conferência, avaliações qualitativas e aceitação final, obrigando-se o gerenciador (preposta da contratada) a reparar e corrigir os eventuais vícios, defeitos ou incorreções porventura detectados, na forma prevista no contrato a ser celebrado entre as partes;</w:t>
      </w:r>
    </w:p>
    <w:p>
      <w:pPr>
        <w:pStyle w:val="ListParagraph"/>
        <w:numPr>
          <w:ilvl w:val="0"/>
          <w:numId w:val="5"/>
        </w:numPr>
        <w:spacing w:lineRule="auto" w:line="240" w:before="0" w:after="0"/>
        <w:contextualSpacing/>
        <w:jc w:val="both"/>
        <w:rPr>
          <w:rFonts w:ascii="Times New Roman" w:hAnsi="Times New Roman"/>
        </w:rPr>
      </w:pPr>
      <w:r>
        <w:rPr>
          <w:rFonts w:cs="Times New Roman" w:ascii="Times New Roman" w:hAnsi="Times New Roman"/>
          <w:szCs w:val="28"/>
        </w:rPr>
        <w:t xml:space="preserve">O objeto do contrato deve atender às especificações constantes do contrato e deste PB, com a observância das seguintes prescrições: ser iniciado no prazo previsto em contrato; estar em perfeitas condições de uso; apresentar boa qualidade exigida ou superior nas especificações, estar pronto para ser utilizado, a partir da data da entrega do objeto (disponibilização) e o aceite do representante responsável pelo acompanhamento da execução do objeto, que deverá ser registrado; </w:t>
      </w:r>
    </w:p>
    <w:p>
      <w:pPr>
        <w:pStyle w:val="ListParagraph"/>
        <w:numPr>
          <w:ilvl w:val="0"/>
          <w:numId w:val="5"/>
        </w:numPr>
        <w:spacing w:lineRule="auto" w:line="240" w:before="0" w:after="0"/>
        <w:contextualSpacing/>
        <w:jc w:val="both"/>
        <w:rPr>
          <w:rFonts w:ascii="Times New Roman" w:hAnsi="Times New Roman"/>
        </w:rPr>
      </w:pPr>
      <w:r>
        <w:rPr>
          <w:rFonts w:cs="Times New Roman" w:ascii="Times New Roman" w:hAnsi="Times New Roman"/>
          <w:szCs w:val="28"/>
        </w:rPr>
        <w:t>O recebimento do objeto não exclui a responsabilidade da CONTRATADA pela qualidade do serviço prestado, sob pena de rescisão do contrato, após previa comunicação, nos termos do contrato;</w:t>
      </w:r>
    </w:p>
    <w:p>
      <w:pPr>
        <w:pStyle w:val="ListParagraph"/>
        <w:numPr>
          <w:ilvl w:val="0"/>
          <w:numId w:val="5"/>
        </w:numPr>
        <w:spacing w:lineRule="auto" w:line="240" w:before="0" w:after="0"/>
        <w:contextualSpacing/>
        <w:jc w:val="both"/>
        <w:rPr>
          <w:rFonts w:ascii="Times New Roman" w:hAnsi="Times New Roman"/>
        </w:rPr>
      </w:pPr>
      <w:r>
        <w:rPr>
          <w:rFonts w:cs="Times New Roman" w:ascii="Times New Roman" w:hAnsi="Times New Roman"/>
          <w:szCs w:val="28"/>
        </w:rPr>
        <w:t>O objeto será rejeitado quando não atender às condições oferecidas no sistema pela CONTRATADO;</w:t>
      </w:r>
    </w:p>
    <w:p>
      <w:pPr>
        <w:pStyle w:val="ListParagraph"/>
        <w:numPr>
          <w:ilvl w:val="0"/>
          <w:numId w:val="5"/>
        </w:numPr>
        <w:spacing w:lineRule="auto" w:line="240" w:before="0" w:after="0"/>
        <w:contextualSpacing/>
        <w:jc w:val="both"/>
        <w:rPr>
          <w:rFonts w:ascii="Times New Roman" w:hAnsi="Times New Roman"/>
        </w:rPr>
      </w:pPr>
      <w:r>
        <w:rPr>
          <w:rFonts w:cs="Times New Roman" w:ascii="Times New Roman" w:hAnsi="Times New Roman"/>
          <w:szCs w:val="28"/>
        </w:rPr>
        <w:t xml:space="preserve">Havendo vícios ou incompatibilidades no serviço, a CONTRATADA deverá corrigi-los, no prazo previsto no contrato, sob pena de rescisão do contrato, na forma do contrato; </w:t>
      </w:r>
    </w:p>
    <w:p>
      <w:pPr>
        <w:pStyle w:val="ListParagraph"/>
        <w:numPr>
          <w:ilvl w:val="0"/>
          <w:numId w:val="5"/>
        </w:numPr>
        <w:spacing w:lineRule="auto" w:line="240" w:before="0" w:after="0"/>
        <w:contextualSpacing/>
        <w:jc w:val="both"/>
        <w:rPr>
          <w:rFonts w:ascii="Times New Roman" w:hAnsi="Times New Roman"/>
        </w:rPr>
      </w:pPr>
      <w:r>
        <w:rPr>
          <w:rFonts w:cs="Times New Roman" w:ascii="Times New Roman" w:hAnsi="Times New Roman"/>
        </w:rPr>
        <w:t xml:space="preserve">Admitir-se-á a prorrogação do prazo para a execução quando verificada a ocorrência de uma das hipóteses previstas art. </w:t>
      </w:r>
      <w:r>
        <w:rPr>
          <w:rFonts w:cs="Times New Roman" w:ascii="Times New Roman" w:hAnsi="Times New Roman"/>
          <w:lang w:bidi="he-IL"/>
        </w:rPr>
        <w:t xml:space="preserve">106 </w:t>
      </w:r>
      <w:r>
        <w:rPr>
          <w:rFonts w:cs="Times New Roman" w:ascii="Times New Roman" w:hAnsi="Times New Roman"/>
        </w:rPr>
        <w:t>da Lei n° 14.133/2021, devendo ser adotado o procedimento previsto no art. 107 do citado dispositivo legal, mediante comprovação da vantajosidade pela Câmara Municipal de Vereadores.</w:t>
      </w:r>
    </w:p>
    <w:p>
      <w:pPr>
        <w:pStyle w:val="ListParagraph"/>
        <w:numPr>
          <w:ilvl w:val="0"/>
          <w:numId w:val="5"/>
        </w:numPr>
        <w:spacing w:lineRule="auto" w:line="240" w:before="0" w:after="0"/>
        <w:contextualSpacing/>
        <w:jc w:val="both"/>
        <w:rPr>
          <w:rFonts w:ascii="Times New Roman" w:hAnsi="Times New Roman"/>
        </w:rPr>
      </w:pPr>
      <w:r>
        <w:rPr>
          <w:rFonts w:cs="Times New Roman" w:ascii="Times New Roman" w:hAnsi="Times New Roman"/>
        </w:rPr>
        <w:t>Admitir-se-á a prorrogação do prazo para a execução quando ocorrida alguma paralização ou suspensão do contrato, na forma do art. 115, § 5º da Lei nº 14.133/2021.</w:t>
      </w:r>
    </w:p>
    <w:p>
      <w:pPr>
        <w:pStyle w:val="ListParagraph"/>
        <w:numPr>
          <w:ilvl w:val="0"/>
          <w:numId w:val="5"/>
        </w:numPr>
        <w:spacing w:lineRule="auto" w:line="240" w:before="0" w:after="0"/>
        <w:contextualSpacing/>
        <w:jc w:val="both"/>
        <w:rPr>
          <w:rFonts w:ascii="Times New Roman" w:hAnsi="Times New Roman"/>
        </w:rPr>
      </w:pPr>
      <w:r>
        <w:rPr>
          <w:rFonts w:cs="Times New Roman" w:ascii="Times New Roman" w:hAnsi="Times New Roman"/>
        </w:rPr>
        <w:t>O sistema poderá ser rejeitado quando não apresentar conformidade com as especificações técnicas;</w:t>
      </w:r>
    </w:p>
    <w:p>
      <w:pPr>
        <w:pStyle w:val="ListParagraph"/>
        <w:numPr>
          <w:ilvl w:val="0"/>
          <w:numId w:val="5"/>
        </w:numPr>
        <w:spacing w:lineRule="auto" w:line="240" w:before="0" w:after="0"/>
        <w:contextualSpacing/>
        <w:jc w:val="both"/>
        <w:rPr>
          <w:rFonts w:ascii="Times New Roman" w:hAnsi="Times New Roman"/>
        </w:rPr>
      </w:pPr>
      <w:r>
        <w:rPr>
          <w:rFonts w:cs="Times New Roman" w:ascii="Times New Roman" w:hAnsi="Times New Roman"/>
        </w:rPr>
        <w:t>Para o objeto em tela, não haverá o procedimento de recebimento provisório, afinal o recebimento do serviço impõe que sua prestação e seu recebimento sejam imediatos;</w:t>
      </w:r>
    </w:p>
    <w:p>
      <w:pPr>
        <w:pStyle w:val="ListParagraph"/>
        <w:numPr>
          <w:ilvl w:val="0"/>
          <w:numId w:val="5"/>
        </w:numPr>
        <w:spacing w:lineRule="auto" w:line="240" w:before="0" w:after="0"/>
        <w:contextualSpacing/>
        <w:jc w:val="both"/>
        <w:rPr>
          <w:rFonts w:ascii="Times New Roman" w:hAnsi="Times New Roman"/>
        </w:rPr>
      </w:pPr>
      <w:r>
        <w:rPr>
          <w:rFonts w:cs="Times New Roman" w:ascii="Times New Roman" w:hAnsi="Times New Roman"/>
        </w:rPr>
        <w:t>A prestação do serviço será executada de modo que se atenda plenamente as necessidades expostas na letra F do item 3, que prevê a relação entre a demanda e a quantidade a ser contratada.</w:t>
      </w:r>
    </w:p>
    <w:p>
      <w:pPr>
        <w:pStyle w:val="Normal"/>
        <w:spacing w:lineRule="auto" w:line="276" w:before="0" w:after="0"/>
        <w:jc w:val="both"/>
        <w:rPr>
          <w:rFonts w:ascii="Times New Roman" w:hAnsi="Times New Roman" w:cs="Times New Roman"/>
          <w:szCs w:val="28"/>
        </w:rPr>
      </w:pPr>
      <w:r>
        <w:rPr>
          <w:rFonts w:cs="Times New Roman"/>
          <w:szCs w:val="28"/>
        </w:rPr>
      </w:r>
    </w:p>
    <w:p>
      <w:pPr>
        <w:pStyle w:val="Normal"/>
        <w:spacing w:lineRule="auto" w:line="276" w:before="0" w:after="0"/>
        <w:rPr>
          <w:rFonts w:ascii="Times New Roman" w:hAnsi="Times New Roman" w:cs="Times New Roman"/>
          <w:szCs w:val="28"/>
        </w:rPr>
      </w:pPr>
      <w:r>
        <w:rPr>
          <w:rFonts w:cs="Times New Roman"/>
          <w:szCs w:val="28"/>
        </w:rPr>
      </w:r>
    </w:p>
    <w:p>
      <w:pPr>
        <w:pStyle w:val="ListParagraph"/>
        <w:numPr>
          <w:ilvl w:val="0"/>
          <w:numId w:val="0"/>
        </w:numPr>
        <w:spacing w:lineRule="auto" w:line="240" w:before="0" w:after="0"/>
        <w:ind w:left="0" w:hanging="0"/>
        <w:contextualSpacing/>
        <w:rPr>
          <w:rFonts w:ascii="Times New Roman" w:hAnsi="Times New Roman"/>
        </w:rPr>
      </w:pPr>
      <w:r>
        <w:rPr>
          <w:rFonts w:cs="Times New Roman" w:ascii="Times New Roman" w:hAnsi="Times New Roman"/>
          <w:b/>
          <w:szCs w:val="28"/>
        </w:rPr>
        <w:t>6. DA VISTORIA</w:t>
      </w:r>
    </w:p>
    <w:p>
      <w:pPr>
        <w:pStyle w:val="Normal"/>
        <w:spacing w:lineRule="auto" w:line="276" w:before="0" w:after="0"/>
        <w:rPr>
          <w:rFonts w:ascii="Times New Roman" w:hAnsi="Times New Roman" w:cs="Times New Roman"/>
          <w:szCs w:val="28"/>
        </w:rPr>
      </w:pPr>
      <w:r>
        <w:rPr>
          <w:rFonts w:cs="Times New Roman"/>
          <w:szCs w:val="28"/>
        </w:rPr>
      </w:r>
    </w:p>
    <w:p>
      <w:pPr>
        <w:pStyle w:val="Normal"/>
        <w:spacing w:lineRule="auto" w:line="276" w:before="0" w:after="0"/>
        <w:jc w:val="both"/>
        <w:rPr>
          <w:rFonts w:ascii="Times New Roman" w:hAnsi="Times New Roman"/>
        </w:rPr>
      </w:pPr>
      <w:r>
        <w:rPr>
          <w:rFonts w:cs="Times New Roman"/>
          <w:szCs w:val="28"/>
        </w:rPr>
        <w:t xml:space="preserve">Não haverá necessidade de vistoria antes da disponibilização do sistema, porém a eventual necessidade de instalação do sistema e de manutenção </w:t>
      </w:r>
      <w:r>
        <w:rPr>
          <w:rFonts w:cs="Times New Roman"/>
          <w:i/>
          <w:szCs w:val="28"/>
        </w:rPr>
        <w:t>in loco</w:t>
      </w:r>
      <w:r>
        <w:rPr>
          <w:rFonts w:cs="Times New Roman"/>
          <w:szCs w:val="28"/>
        </w:rPr>
        <w:t xml:space="preserve"> poderá ser realizada pela CONTRATADA, desde que previamente autorizada pela CONTRATANTE.</w:t>
      </w:r>
    </w:p>
    <w:p>
      <w:pPr>
        <w:pStyle w:val="Normal"/>
        <w:spacing w:lineRule="auto" w:line="276" w:before="0" w:after="0"/>
        <w:jc w:val="both"/>
        <w:rPr>
          <w:rFonts w:ascii="Times New Roman" w:hAnsi="Times New Roman"/>
        </w:rPr>
      </w:pPr>
      <w:r>
        <w:rPr>
          <w:rFonts w:cs="Times New Roman"/>
          <w:szCs w:val="28"/>
        </w:rPr>
        <w:t>Só poderão acessar as dependências da CONTRATANTE funcionário da CONTRATADA previamente autorizado e identificado.</w:t>
      </w:r>
    </w:p>
    <w:p>
      <w:pPr>
        <w:pStyle w:val="Normal"/>
        <w:spacing w:lineRule="auto" w:line="276" w:before="0" w:after="0"/>
        <w:rPr>
          <w:rFonts w:ascii="Times New Roman" w:hAnsi="Times New Roman" w:cs="Times New Roman"/>
          <w:szCs w:val="28"/>
        </w:rPr>
      </w:pPr>
      <w:r>
        <w:rPr>
          <w:rFonts w:cs="Times New Roman"/>
          <w:szCs w:val="28"/>
        </w:rPr>
      </w:r>
    </w:p>
    <w:p>
      <w:pPr>
        <w:pStyle w:val="ListParagraph"/>
        <w:numPr>
          <w:ilvl w:val="0"/>
          <w:numId w:val="0"/>
        </w:numPr>
        <w:spacing w:lineRule="auto" w:line="240" w:before="0" w:after="0"/>
        <w:ind w:left="0" w:hanging="0"/>
        <w:contextualSpacing/>
        <w:rPr>
          <w:rFonts w:ascii="Times New Roman" w:hAnsi="Times New Roman"/>
        </w:rPr>
      </w:pPr>
      <w:r>
        <w:rPr>
          <w:rFonts w:cs="Times New Roman" w:ascii="Times New Roman" w:hAnsi="Times New Roman"/>
          <w:b/>
          <w:szCs w:val="28"/>
        </w:rPr>
        <w:t>7. OBRIGAÇÕES DA CONTRANTE</w:t>
      </w:r>
    </w:p>
    <w:p>
      <w:pPr>
        <w:pStyle w:val="ListParagraph"/>
        <w:numPr>
          <w:ilvl w:val="0"/>
          <w:numId w:val="0"/>
        </w:numPr>
        <w:spacing w:lineRule="auto" w:line="240" w:before="0" w:after="0"/>
        <w:ind w:left="0" w:hanging="0"/>
        <w:contextualSpacing/>
        <w:rPr>
          <w:rFonts w:ascii="Times New Roman" w:hAnsi="Times New Roman"/>
        </w:rPr>
      </w:pPr>
      <w:r>
        <w:rPr>
          <w:rFonts w:ascii="Times New Roman" w:hAnsi="Times New Roman"/>
        </w:rPr>
      </w:r>
    </w:p>
    <w:p>
      <w:pPr>
        <w:pStyle w:val="ListParagraph"/>
        <w:widowControl/>
        <w:numPr>
          <w:ilvl w:val="0"/>
          <w:numId w:val="6"/>
        </w:numPr>
        <w:suppressAutoHyphens w:val="true"/>
        <w:overflowPunct w:val="false"/>
        <w:bidi w:val="0"/>
        <w:spacing w:lineRule="auto" w:line="240" w:before="0" w:after="0"/>
        <w:ind w:left="113" w:right="0" w:hanging="0"/>
        <w:contextualSpacing/>
        <w:jc w:val="both"/>
        <w:rPr>
          <w:rFonts w:ascii="Times New Roman" w:hAnsi="Times New Roman"/>
        </w:rPr>
      </w:pPr>
      <w:r>
        <w:rPr>
          <w:rFonts w:cs="Times New Roman" w:ascii="Times New Roman" w:hAnsi="Times New Roman"/>
          <w:szCs w:val="28"/>
        </w:rPr>
        <w:t>Receber o objeto no prazo e condições preestabelecidas neste PB;</w:t>
      </w:r>
    </w:p>
    <w:p>
      <w:pPr>
        <w:pStyle w:val="ListParagraph"/>
        <w:widowControl/>
        <w:numPr>
          <w:ilvl w:val="0"/>
          <w:numId w:val="6"/>
        </w:numPr>
        <w:suppressAutoHyphens w:val="true"/>
        <w:overflowPunct w:val="false"/>
        <w:bidi w:val="0"/>
        <w:spacing w:lineRule="auto" w:line="240" w:before="0" w:after="0"/>
        <w:ind w:left="113" w:right="0" w:hanging="0"/>
        <w:contextualSpacing/>
        <w:jc w:val="both"/>
        <w:rPr>
          <w:rFonts w:ascii="Times New Roman" w:hAnsi="Times New Roman"/>
        </w:rPr>
      </w:pPr>
      <w:r>
        <w:rPr>
          <w:rFonts w:cs="Times New Roman" w:ascii="Times New Roman" w:hAnsi="Times New Roman"/>
          <w:szCs w:val="28"/>
        </w:rPr>
        <w:t>Comunicar à CONTRATADA, por escrito, toda e qualquer ocorrência relacionada com a execução dos serviços contratados, bem como, sobre imperfeições, falhas</w:t>
        <w:br/>
        <w:t>ou irregularidades verificadas na execução do objeto, diligenciando-a para que estas sejam plenamente reparadas ou corrigidas;</w:t>
      </w:r>
    </w:p>
    <w:p>
      <w:pPr>
        <w:pStyle w:val="ListParagraph"/>
        <w:widowControl/>
        <w:numPr>
          <w:ilvl w:val="0"/>
          <w:numId w:val="6"/>
        </w:numPr>
        <w:suppressAutoHyphens w:val="true"/>
        <w:overflowPunct w:val="false"/>
        <w:bidi w:val="0"/>
        <w:spacing w:lineRule="auto" w:line="240" w:before="0" w:after="0"/>
        <w:ind w:left="113" w:right="0" w:hanging="0"/>
        <w:contextualSpacing/>
        <w:jc w:val="both"/>
        <w:rPr>
          <w:rFonts w:ascii="Times New Roman" w:hAnsi="Times New Roman"/>
        </w:rPr>
      </w:pPr>
      <w:r>
        <w:rPr>
          <w:rFonts w:cs="Times New Roman" w:ascii="Times New Roman" w:hAnsi="Times New Roman"/>
          <w:szCs w:val="28"/>
        </w:rPr>
        <w:t>Permitir o acesso dos empregados da CONTRATADA às instalações da CONTRATANTE para o cumprimento das rotinas de instalação e manutenção que visem a continuidade da prestação do serviço, desde que tenham sido credenciados pela CONTRATANTE e exclusivamente para atender o objeto deste PB;</w:t>
      </w:r>
    </w:p>
    <w:p>
      <w:pPr>
        <w:pStyle w:val="ListParagraph"/>
        <w:widowControl/>
        <w:numPr>
          <w:ilvl w:val="0"/>
          <w:numId w:val="6"/>
        </w:numPr>
        <w:suppressAutoHyphens w:val="true"/>
        <w:overflowPunct w:val="false"/>
        <w:bidi w:val="0"/>
        <w:spacing w:lineRule="auto" w:line="240" w:before="0" w:after="0"/>
        <w:ind w:left="170" w:right="0" w:hanging="0"/>
        <w:contextualSpacing/>
        <w:jc w:val="both"/>
        <w:rPr>
          <w:rFonts w:ascii="Times New Roman" w:hAnsi="Times New Roman"/>
        </w:rPr>
      </w:pPr>
      <w:r>
        <w:rPr>
          <w:rFonts w:cs="Times New Roman" w:ascii="Times New Roman" w:hAnsi="Times New Roman"/>
          <w:szCs w:val="28"/>
        </w:rPr>
        <w:t>Acompanhar e fiscalizar os serviços, objeto deste PB, por meio de representante designado para esse fim, realizando todos os registros que achar necessário;</w:t>
      </w:r>
    </w:p>
    <w:p>
      <w:pPr>
        <w:pStyle w:val="ListParagraph"/>
        <w:widowControl/>
        <w:numPr>
          <w:ilvl w:val="0"/>
          <w:numId w:val="6"/>
        </w:numPr>
        <w:suppressAutoHyphens w:val="true"/>
        <w:overflowPunct w:val="false"/>
        <w:bidi w:val="0"/>
        <w:spacing w:lineRule="auto" w:line="240" w:before="0" w:after="0"/>
        <w:ind w:left="170" w:right="0" w:hanging="0"/>
        <w:contextualSpacing/>
        <w:jc w:val="both"/>
        <w:rPr>
          <w:rFonts w:ascii="Times New Roman" w:hAnsi="Times New Roman"/>
        </w:rPr>
      </w:pPr>
      <w:r>
        <w:rPr>
          <w:rFonts w:cs="Times New Roman" w:ascii="Times New Roman" w:hAnsi="Times New Roman"/>
          <w:szCs w:val="28"/>
        </w:rPr>
        <w:t>Proporcionar todas as facilidades para que a CONTRATADA possa cumprir com suas obrigações dentro dos prazos, normas e condições preestabelecidas neste PB e no contrato;</w:t>
      </w:r>
    </w:p>
    <w:p>
      <w:pPr>
        <w:pStyle w:val="ListParagraph"/>
        <w:widowControl/>
        <w:numPr>
          <w:ilvl w:val="0"/>
          <w:numId w:val="6"/>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Notificar, por escrito, à CONTRATADA de eventuais ocorrências, garantindo-lhe o direito ao contraditório e à ampla defesa antes de rescisão do contrato;</w:t>
      </w:r>
    </w:p>
    <w:p>
      <w:pPr>
        <w:pStyle w:val="ListParagraph"/>
        <w:widowControl/>
        <w:numPr>
          <w:ilvl w:val="0"/>
          <w:numId w:val="6"/>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Responder pelas consequências de suas ações ou omissões;</w:t>
      </w:r>
    </w:p>
    <w:p>
      <w:pPr>
        <w:pStyle w:val="ListParagraph"/>
        <w:widowControl/>
        <w:numPr>
          <w:ilvl w:val="0"/>
          <w:numId w:val="6"/>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A Câmara Municipal de Vereadores não responderá por quaisquer compromissos assumidos pela CONTRATADA com terceiros, ainda que vinculados à execução do presente objeto, bem como por qualquer dano causado a terceiros em decorrência de ato da CONTRATADA, de seus empregados, prepostos ou subordinados; e</w:t>
      </w:r>
    </w:p>
    <w:p>
      <w:pPr>
        <w:pStyle w:val="ListParagraph"/>
        <w:widowControl/>
        <w:numPr>
          <w:ilvl w:val="0"/>
          <w:numId w:val="6"/>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Exigir o cumprimento de todas as obrigações assumidas pela CONTRATADA, de acordo com as cláusulas contratuais e os termos de sua proposta.</w:t>
      </w:r>
    </w:p>
    <w:p>
      <w:pPr>
        <w:pStyle w:val="Normal"/>
        <w:spacing w:lineRule="auto" w:line="276" w:before="0" w:after="0"/>
        <w:rPr>
          <w:rFonts w:ascii="Times New Roman" w:hAnsi="Times New Roman" w:cs="Times New Roman"/>
          <w:szCs w:val="28"/>
        </w:rPr>
      </w:pPr>
      <w:r>
        <w:rPr>
          <w:rFonts w:cs="Times New Roman"/>
          <w:szCs w:val="28"/>
        </w:rPr>
      </w:r>
    </w:p>
    <w:p>
      <w:pPr>
        <w:pStyle w:val="ListParagraph"/>
        <w:numPr>
          <w:ilvl w:val="0"/>
          <w:numId w:val="0"/>
        </w:numPr>
        <w:spacing w:lineRule="auto" w:line="240" w:before="0" w:after="0"/>
        <w:ind w:left="0" w:hanging="0"/>
        <w:contextualSpacing/>
        <w:rPr>
          <w:rFonts w:ascii="Times New Roman" w:hAnsi="Times New Roman"/>
        </w:rPr>
      </w:pPr>
      <w:r>
        <w:rPr>
          <w:rFonts w:cs="Times New Roman" w:ascii="Times New Roman" w:hAnsi="Times New Roman"/>
          <w:b/>
          <w:szCs w:val="28"/>
        </w:rPr>
        <w:t>8. OBRIGAÇÕES DA CONTRATADA</w:t>
      </w:r>
    </w:p>
    <w:p>
      <w:pPr>
        <w:pStyle w:val="ListParagraph"/>
        <w:numPr>
          <w:ilvl w:val="0"/>
          <w:numId w:val="0"/>
        </w:numPr>
        <w:spacing w:lineRule="auto" w:line="240" w:before="0" w:after="0"/>
        <w:ind w:left="0" w:hanging="0"/>
        <w:contextualSpacing/>
        <w:rPr>
          <w:rFonts w:ascii="Times New Roman" w:hAnsi="Times New Roman"/>
        </w:rPr>
      </w:pPr>
      <w:r>
        <w:rPr>
          <w:rFonts w:ascii="Times New Roman" w:hAnsi="Times New Roman"/>
        </w:rPr>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Atender ao pedido de informações, mediante solicitação expressa da CONTRATANTE, efetuadas por pessoas ou entidades por ela credenciada, relacionada com o desenvolvimento dos serviços contratados;</w:t>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 xml:space="preserve">processar diariamente o sistema, com todo suporte necessários a sua operação e ao armazenamento de seus dados, viabilizando consultas e atualizações pelos usuários; </w:t>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disponibilizar acesso lógico das estações de trabalho de seus usuários ao banco de dados do sistema;</w:t>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tomar todas as providências necessárias à fiel execução deste Instrumento responsabilizando- se pelo pagamento de tributos e despesas inerentes aos insumos necessários à prestação dos serviços;</w:t>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responsabilizar-se pela garantia dos serviços objeto deste PB, dentro dos padrões adequados de qualidade, segurança, durabilidade e desempenho, conforme previsto na Lei n° 8.078, de 11 de setembro de 1.990;</w:t>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assumir inteira responsabilidade por danos ou desvios causados ao patrimônio da CONTRATANTE por ação ou omissão de seus empregados ou prepostos, mesmo que fora do exercício de atribuições previstas no contrato;</w:t>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responsabilizar-se pelos danos causados à CONTRATANTE ou a terceiros, decorrentes de sua culpa ou dolo, não excluindo ou reduzindo essa responsabilidade, a fiscalização ou o acompanhamento realizado pela CONTRATANTE;</w:t>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 xml:space="preserve">manter, durante toda a execução do Contrato, todas as condições firmadas em sua proposta inicial; </w:t>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executar o objeto contratado em conformidade com as condições e prazos estabelecidos neste PB;</w:t>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submeter à aprovação do CONTRATANTE toda e qualquer alteração ocorrida nas especificações, em face de imposições técnicas ou de cunho administrativo e legal indispensáveis à perfeita execução do Sistema;</w:t>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assumir o ônus decorrente de todas as despesas, tributos e demais encargos inerentes ao objeto deste PB;</w:t>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rPr>
        <w:t>A CONTRATADA poderá cobrar os custos pela utilização do sistema dos fornecedores, nos termos do art. 170 da Constituição Federal – livre iniciativa –; do art. 174, § 1º da Lei nº 14.133/2021; da Lei nº 14.129/2021 – que trata sobre o Governo Digital e o aumento da eficiência pública –; e ainda considerando a aplicação analógica do art. 5º, inc. III, da Lei nº 10.520, de 17 de julho de 2002</w:t>
      </w:r>
      <w:r>
        <w:rPr>
          <w:rFonts w:eastAsia="Calibri" w:ascii="Times New Roman" w:hAnsi="Times New Roman"/>
        </w:rPr>
        <w:t xml:space="preserve">; </w:t>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não transferir, total ou parcialmente, os direitos e obrigações vinculadas à contratação;</w:t>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 xml:space="preserve">sujeitar-se à fiscalização da CONTRATANTE, no tocante a verificação e certificação das especificações técnicas exigidas, prestando todos os esclarecimentos so1icitados e, atendendo de imediato às reclamações fundamentadas, caso venham a ocorrer; </w:t>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prestar as informações e os esclarecimentos que venham a ser solicitados pela CONTRATANTE, em até 48 (quarenta e oito) horas, por intermédio do fiscal designado para acompanhamento do contrato;</w:t>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levar imediatamente, ao conhecimento do Fiscal do Contrato, qualquer fato anormal ou extraordinário que ocorrer na execução do objeto contratado, para adoção das medidas cabíveis;</w:t>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entregar, no prazo previsto no contrato o sistema pronto para operar;</w:t>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manter em dia suas obrigações, legais, fiscais sobre o serviço e sociais para com o pessoal envolvido no presente serviço, sob sua responsabilidade;</w:t>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a CONTRATADA será responsável por todas as despesas com atualização e melhoria do sistema, bem como por todo serviço necessário à perfeita e completa execução do objeto do presente contrato;</w:t>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rFonts w:ascii="Times New Roman" w:hAnsi="Times New Roman"/>
        </w:rPr>
      </w:pPr>
      <w:r>
        <w:rPr>
          <w:rFonts w:cs="Times New Roman" w:ascii="Times New Roman" w:hAnsi="Times New Roman"/>
          <w:szCs w:val="28"/>
        </w:rPr>
        <w:t>comunicar à CONTRATANTE, no prazo máximo de 24 (vinte e quatro) horas que antecede a data do início da prestação do serviço, os motivos que impossibilitem o cumprimento do prazo previsto, com a devida comprovação;</w:t>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rFonts w:ascii="Times New Roman" w:hAnsi="Times New Roman"/>
        </w:rPr>
      </w:pPr>
      <w:r>
        <w:rPr>
          <w:rFonts w:cs="Calibri" w:ascii="Times New Roman" w:hAnsi="Times New Roman"/>
        </w:rPr>
        <w:t>indicar preposto para representá-la durante a vigência contratual.</w:t>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rFonts w:ascii="Times New Roman" w:hAnsi="Times New Roman"/>
        </w:rPr>
      </w:pPr>
      <w:r>
        <w:rPr>
          <w:rFonts w:cs="Calibri" w:ascii="Times New Roman" w:hAnsi="Times New Roman"/>
        </w:rPr>
        <w:t>sujeitar-se à fiscalização do Fiscal do Contrato quanto ao acompanhamento do cumprimento das obrigações pactuadas, prestando-lhe todos os esclarecimentos solicitados, bem como atendendo às reclamações consideradas procedentes.</w:t>
      </w:r>
    </w:p>
    <w:p>
      <w:pPr>
        <w:pStyle w:val="ListParagraph"/>
        <w:widowControl/>
        <w:numPr>
          <w:ilvl w:val="0"/>
          <w:numId w:val="7"/>
        </w:numPr>
        <w:suppressAutoHyphens w:val="true"/>
        <w:overflowPunct w:val="false"/>
        <w:bidi w:val="0"/>
        <w:spacing w:lineRule="auto" w:line="240" w:before="0" w:after="0"/>
        <w:ind w:left="227" w:right="0" w:hanging="0"/>
        <w:contextualSpacing/>
        <w:jc w:val="both"/>
        <w:rPr/>
      </w:pPr>
      <w:r>
        <w:rPr>
          <w:rFonts w:cs="Calibri" w:ascii="Times New Roman" w:hAnsi="Times New Roman"/>
        </w:rPr>
        <w:t>manter, durante 5 (cinco) anos após o fim do contrato os dados das atividades realizadas no portal pela CONTRATANTE</w:t>
      </w:r>
      <w:r>
        <w:rPr>
          <w:rStyle w:val="Cf01"/>
          <w:rFonts w:ascii="Times New Roman" w:hAnsi="Times New Roman"/>
          <w:sz w:val="22"/>
        </w:rPr>
        <w:t>.</w:t>
      </w:r>
    </w:p>
    <w:p>
      <w:pPr>
        <w:pStyle w:val="Normal"/>
        <w:spacing w:lineRule="auto" w:line="276" w:before="0" w:after="0"/>
        <w:rPr>
          <w:rFonts w:ascii="Times New Roman" w:hAnsi="Times New Roman" w:cs="Times New Roman"/>
          <w:szCs w:val="28"/>
        </w:rPr>
      </w:pPr>
      <w:r>
        <w:rPr>
          <w:rFonts w:cs="Times New Roman"/>
          <w:szCs w:val="28"/>
        </w:rPr>
      </w:r>
    </w:p>
    <w:p>
      <w:pPr>
        <w:pStyle w:val="ListParagraph"/>
        <w:numPr>
          <w:ilvl w:val="0"/>
          <w:numId w:val="0"/>
        </w:numPr>
        <w:spacing w:lineRule="auto" w:line="240" w:before="0" w:after="0"/>
        <w:ind w:left="0" w:hanging="0"/>
        <w:contextualSpacing/>
        <w:rPr>
          <w:rFonts w:ascii="Times New Roman" w:hAnsi="Times New Roman"/>
        </w:rPr>
      </w:pPr>
      <w:r>
        <w:rPr>
          <w:rFonts w:cs="Times New Roman" w:ascii="Times New Roman" w:hAnsi="Times New Roman"/>
          <w:b/>
          <w:szCs w:val="28"/>
        </w:rPr>
        <w:t>9. DA SUBCONTRATAÇÃO</w:t>
      </w:r>
    </w:p>
    <w:p>
      <w:pPr>
        <w:pStyle w:val="Normal"/>
        <w:spacing w:lineRule="auto" w:line="276" w:before="0" w:after="0"/>
        <w:rPr>
          <w:rFonts w:ascii="Times New Roman" w:hAnsi="Times New Roman" w:cs="Times New Roman"/>
          <w:szCs w:val="28"/>
        </w:rPr>
      </w:pPr>
      <w:r>
        <w:rPr>
          <w:rFonts w:cs="Times New Roman"/>
          <w:szCs w:val="28"/>
        </w:rPr>
      </w:r>
    </w:p>
    <w:p>
      <w:pPr>
        <w:pStyle w:val="Normal"/>
        <w:spacing w:lineRule="auto" w:line="276" w:before="0" w:after="0"/>
        <w:rPr>
          <w:rFonts w:ascii="Times New Roman" w:hAnsi="Times New Roman"/>
        </w:rPr>
      </w:pPr>
      <w:r>
        <w:rPr>
          <w:rFonts w:cs="Times New Roman"/>
          <w:szCs w:val="28"/>
        </w:rPr>
        <w:t>Não será admitida a subcontratação do objeto.</w:t>
      </w:r>
    </w:p>
    <w:p>
      <w:pPr>
        <w:pStyle w:val="Normal"/>
        <w:spacing w:lineRule="auto" w:line="276" w:before="0" w:after="0"/>
        <w:jc w:val="both"/>
        <w:rPr>
          <w:rFonts w:ascii="Times New Roman" w:hAnsi="Times New Roman" w:cs="Times New Roman"/>
          <w:szCs w:val="28"/>
        </w:rPr>
      </w:pPr>
      <w:r>
        <w:rPr>
          <w:rFonts w:cs="Times New Roman"/>
          <w:szCs w:val="28"/>
        </w:rPr>
      </w:r>
    </w:p>
    <w:p>
      <w:pPr>
        <w:pStyle w:val="Normal"/>
        <w:spacing w:lineRule="auto" w:line="276" w:before="0" w:after="0"/>
        <w:rPr>
          <w:rFonts w:ascii="Times New Roman" w:hAnsi="Times New Roman"/>
        </w:rPr>
      </w:pPr>
      <w:r>
        <w:rPr>
          <w:rFonts w:cs="Times New Roman"/>
          <w:b/>
          <w:szCs w:val="28"/>
        </w:rPr>
        <w:t>10. CONTROLE E FISCALIZAÇÃO DA EXECUÇÃO</w:t>
      </w:r>
    </w:p>
    <w:p>
      <w:pPr>
        <w:pStyle w:val="Normal"/>
        <w:spacing w:lineRule="auto" w:line="276" w:before="0" w:after="0"/>
        <w:rPr>
          <w:rFonts w:ascii="Times New Roman" w:hAnsi="Times New Roman" w:cs="Times New Roman"/>
          <w:szCs w:val="28"/>
        </w:rPr>
      </w:pPr>
      <w:r>
        <w:rPr>
          <w:rFonts w:cs="Times New Roman"/>
          <w:szCs w:val="28"/>
        </w:rPr>
      </w:r>
    </w:p>
    <w:p>
      <w:pPr>
        <w:pStyle w:val="Normal"/>
        <w:spacing w:lineRule="auto" w:line="240" w:before="0" w:after="0"/>
        <w:jc w:val="both"/>
        <w:rPr>
          <w:rFonts w:ascii="Times New Roman" w:hAnsi="Times New Roman"/>
        </w:rPr>
      </w:pPr>
      <w:r>
        <w:rPr>
          <w:rFonts w:cs="Times New Roman"/>
        </w:rPr>
        <w:t>10.1 O acompanhamento e a fiscalização da execução do contrato consistem na verificação da conformidade da prestação dos serviços, de forma a assegurar o perfeito cumprimento do ajuste, devendo ser exercidos por um ou mais representantes da Contratante, especialmente designados, na forma da Lei, no que couber.</w:t>
      </w:r>
    </w:p>
    <w:p>
      <w:pPr>
        <w:pStyle w:val="Normal"/>
        <w:spacing w:lineRule="auto" w:line="240" w:before="0" w:after="0"/>
        <w:jc w:val="both"/>
        <w:rPr>
          <w:rFonts w:ascii="Times New Roman" w:hAnsi="Times New Roman"/>
        </w:rPr>
      </w:pPr>
      <w:r>
        <w:rPr>
          <w:rFonts w:cs="Times New Roman"/>
        </w:rPr>
        <w:t>10.2 A fiscalização de que trata este item não exclui nem reduz a responsabilidade da CONTRATADA, inclusive perante terceiros, por qualquer irregularidade, ainda que resultante de imperfeições técnicas ou vícios redibitórios, e, na ocorrência desta, não implicaem corresponsabilidade da Câmara Municipal de Vereadores ou de seus agentes e prepostos, conforme previsto em Lei.</w:t>
      </w:r>
    </w:p>
    <w:p>
      <w:pPr>
        <w:pStyle w:val="Normal"/>
        <w:spacing w:lineRule="auto" w:line="240" w:before="0" w:after="0"/>
        <w:jc w:val="both"/>
        <w:rPr>
          <w:rFonts w:ascii="Times New Roman" w:hAnsi="Times New Roman"/>
        </w:rPr>
      </w:pPr>
      <w:r>
        <w:rPr>
          <w:rFonts w:cs="Times New Roman"/>
          <w:szCs w:val="28"/>
        </w:rPr>
        <w:t>10.3 O representante da CONTRATANTE deverá ter a experiência necessária para o acompanhamento e controle da execução dos serviços e do contrato e anotará, em registro próprio, todas as ocorrências</w:t>
      </w:r>
      <w:r>
        <w:rPr>
          <w:rFonts w:cs="Times New Roman"/>
        </w:rPr>
        <w:t xml:space="preserve">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spacing w:lineRule="auto" w:line="240" w:before="0" w:after="0"/>
        <w:jc w:val="both"/>
        <w:rPr>
          <w:rFonts w:ascii="Times New Roman" w:hAnsi="Times New Roman"/>
        </w:rPr>
      </w:pPr>
      <w:r>
        <w:rPr>
          <w:rFonts w:cs="Times New Roman"/>
          <w:szCs w:val="28"/>
        </w:rPr>
        <w:t>10.4 A verificação da adequação da prestação do serviço deverá ser realizada com base nos critérios previstos neste PB.</w:t>
      </w:r>
    </w:p>
    <w:p>
      <w:pPr>
        <w:pStyle w:val="Normal"/>
        <w:spacing w:lineRule="auto" w:line="240" w:before="0" w:after="0"/>
        <w:jc w:val="both"/>
        <w:rPr>
          <w:rFonts w:ascii="Times New Roman" w:hAnsi="Times New Roman"/>
        </w:rPr>
      </w:pPr>
      <w:r>
        <w:rPr>
          <w:rFonts w:cs="Times New Roman"/>
        </w:rPr>
        <w:t>10.5 A execução do contrato deverá ser acompanhada e fiscalizada por meio de instrumentos de controle.</w:t>
      </w:r>
    </w:p>
    <w:p>
      <w:pPr>
        <w:pStyle w:val="Normal"/>
        <w:spacing w:lineRule="auto" w:line="240" w:before="0" w:after="0"/>
        <w:jc w:val="both"/>
        <w:rPr>
          <w:rFonts w:ascii="Times New Roman" w:hAnsi="Times New Roman"/>
        </w:rPr>
      </w:pPr>
      <w:r>
        <w:rPr>
          <w:rFonts w:cs="Times New Roman"/>
          <w:szCs w:val="28"/>
        </w:rPr>
        <w:t>10.6 O fiscal ou gestor do contrato, ao verificar a perda da qualidade na execução do serviço, deverá comunicar à autoridade responsável para as providências cabíveis.</w:t>
      </w:r>
    </w:p>
    <w:p>
      <w:pPr>
        <w:pStyle w:val="Normal"/>
        <w:spacing w:lineRule="auto" w:line="240" w:before="0" w:after="0"/>
        <w:jc w:val="both"/>
        <w:rPr>
          <w:rFonts w:ascii="Times New Roman" w:hAnsi="Times New Roman"/>
        </w:rPr>
      </w:pPr>
      <w:r>
        <w:rPr>
          <w:rFonts w:cs="Times New Roman"/>
        </w:rPr>
        <w:t>10.7 O descumprimento total ou parcial das demais obrigações e responsabilidades assumidas pela Contratada ensejará apenas as sanções administrativas previstas neste Projeto Básico e no contrato.</w:t>
      </w:r>
    </w:p>
    <w:p>
      <w:pPr>
        <w:pStyle w:val="Normal"/>
        <w:spacing w:lineRule="auto" w:line="276" w:before="0" w:after="0"/>
        <w:jc w:val="both"/>
        <w:rPr>
          <w:rFonts w:ascii="Times New Roman" w:hAnsi="Times New Roman" w:cs="Times New Roman"/>
          <w:szCs w:val="28"/>
        </w:rPr>
      </w:pPr>
      <w:r>
        <w:rPr>
          <w:rFonts w:cs="Times New Roman"/>
          <w:szCs w:val="28"/>
        </w:rPr>
      </w:r>
    </w:p>
    <w:p>
      <w:pPr>
        <w:pStyle w:val="Normal"/>
        <w:spacing w:lineRule="auto" w:line="276" w:before="0" w:after="0"/>
        <w:rPr>
          <w:rFonts w:ascii="Times New Roman" w:hAnsi="Times New Roman"/>
        </w:rPr>
      </w:pPr>
      <w:r>
        <w:rPr>
          <w:rFonts w:cs="Times New Roman"/>
          <w:b/>
          <w:szCs w:val="28"/>
        </w:rPr>
        <w:t>11. DAS SANÇÕES ADMINISTRATIVAS E DA RESCISÃO</w:t>
      </w:r>
    </w:p>
    <w:p>
      <w:pPr>
        <w:pStyle w:val="Normal"/>
        <w:spacing w:lineRule="auto" w:line="276" w:before="0" w:after="0"/>
        <w:rPr>
          <w:rFonts w:ascii="Times New Roman" w:hAnsi="Times New Roman" w:cs="Calibri"/>
        </w:rPr>
      </w:pPr>
      <w:r>
        <w:rPr>
          <w:rFonts w:cs="Calibri"/>
        </w:rPr>
      </w:r>
    </w:p>
    <w:p>
      <w:pPr>
        <w:pStyle w:val="Normal"/>
        <w:spacing w:lineRule="auto" w:line="276" w:before="0" w:after="0"/>
        <w:jc w:val="both"/>
        <w:rPr>
          <w:rFonts w:ascii="Times New Roman" w:hAnsi="Times New Roman"/>
        </w:rPr>
      </w:pPr>
      <w:r>
        <w:rPr>
          <w:rFonts w:cs="Calibri"/>
        </w:rPr>
        <w:t>11.1 A CONTRATADA comete infração administrativa nos casos de inexecução total ou parcial dos serviços.</w:t>
      </w:r>
    </w:p>
    <w:p>
      <w:pPr>
        <w:pStyle w:val="Normal"/>
        <w:spacing w:lineRule="auto" w:line="240" w:before="0" w:after="0"/>
        <w:jc w:val="both"/>
        <w:rPr>
          <w:rFonts w:ascii="Times New Roman" w:hAnsi="Times New Roman"/>
        </w:rPr>
      </w:pPr>
      <w:r>
        <w:rPr>
          <w:rFonts w:cs="Calibri"/>
        </w:rPr>
        <w:t>11.2 A Contratada ficará sujeita, sem prejuízo da responsabilidade civil e criminal, no caso de descumprimento contratual, às seguintes sanções:</w:t>
      </w:r>
    </w:p>
    <w:p>
      <w:pPr>
        <w:pStyle w:val="Normal"/>
        <w:spacing w:lineRule="auto" w:line="240" w:before="0" w:after="0"/>
        <w:jc w:val="both"/>
        <w:rPr>
          <w:rFonts w:ascii="Times New Roman" w:hAnsi="Times New Roman" w:cs="Calibri"/>
        </w:rPr>
      </w:pPr>
      <w:r>
        <w:rPr>
          <w:rFonts w:cs="Calibri"/>
        </w:rPr>
      </w:r>
    </w:p>
    <w:p>
      <w:pPr>
        <w:pStyle w:val="Normal"/>
        <w:spacing w:lineRule="auto" w:line="240" w:before="0" w:after="0"/>
        <w:jc w:val="both"/>
        <w:rPr>
          <w:rFonts w:ascii="Times New Roman" w:hAnsi="Times New Roman"/>
        </w:rPr>
      </w:pPr>
      <w:r>
        <w:rPr>
          <w:rFonts w:cs="Calibri"/>
        </w:rPr>
        <w:t>a) advertência por faltas leves, assim entendidas aquelas que não acarretem prejuízos significativos ao CONTRATANTE; e</w:t>
      </w:r>
    </w:p>
    <w:p>
      <w:pPr>
        <w:pStyle w:val="Normal"/>
        <w:spacing w:lineRule="auto" w:line="240" w:before="0" w:after="0"/>
        <w:jc w:val="both"/>
        <w:rPr>
          <w:rFonts w:ascii="Times New Roman" w:hAnsi="Times New Roman" w:cs="Calibri"/>
        </w:rPr>
      </w:pPr>
      <w:r>
        <w:rPr>
          <w:rFonts w:cs="Calibri"/>
        </w:rPr>
      </w:r>
    </w:p>
    <w:p>
      <w:pPr>
        <w:pStyle w:val="Western"/>
        <w:spacing w:lineRule="auto" w:line="240" w:beforeAutospacing="0" w:before="0" w:after="0"/>
        <w:rPr>
          <w:rFonts w:ascii="Times New Roman" w:hAnsi="Times New Roman"/>
        </w:rPr>
      </w:pPr>
      <w:r>
        <w:rPr>
          <w:rFonts w:cs="Calibri" w:ascii="Times New Roman" w:hAnsi="Times New Roman"/>
          <w:sz w:val="22"/>
          <w:szCs w:val="22"/>
        </w:rPr>
        <w:t xml:space="preserve">b) </w:t>
      </w:r>
      <w:r>
        <w:rPr>
          <w:rFonts w:cs="Calibri" w:ascii="Times New Roman" w:hAnsi="Times New Roman"/>
          <w:b/>
          <w:sz w:val="22"/>
          <w:szCs w:val="22"/>
        </w:rPr>
        <w:t>multas compensatórias</w:t>
      </w:r>
      <w:r>
        <w:rPr>
          <w:rFonts w:cs="Calibri" w:ascii="Times New Roman" w:hAnsi="Times New Roman"/>
          <w:sz w:val="22"/>
          <w:szCs w:val="22"/>
        </w:rPr>
        <w:t xml:space="preserve"> de acordo com a tabela de indicadores: 1 – Disponibilidade dos Serviços Críticos e 2 – Atendimentos que não impedem a operação, assim entendidas aquelas que acarretem prejuízos significativos ao CONTRATANTE, no limite do prejuízo, a ser apurado em processo administrativo próprio.</w:t>
      </w:r>
    </w:p>
    <w:p>
      <w:pPr>
        <w:pStyle w:val="Normal"/>
        <w:spacing w:lineRule="auto" w:line="276" w:before="120" w:after="120"/>
        <w:ind w:left="0" w:right="0" w:firstLine="708"/>
        <w:jc w:val="both"/>
        <w:rPr>
          <w:rFonts w:ascii="Times New Roman" w:hAnsi="Times New Roman"/>
          <w:sz w:val="20"/>
          <w:szCs w:val="20"/>
        </w:rPr>
      </w:pPr>
      <w:r>
        <w:rPr>
          <w:sz w:val="20"/>
          <w:szCs w:val="20"/>
        </w:rPr>
      </w:r>
    </w:p>
    <w:p>
      <w:pPr>
        <w:pStyle w:val="Normal"/>
        <w:spacing w:lineRule="auto" w:line="276" w:before="120" w:after="120"/>
        <w:ind w:left="0" w:right="0" w:firstLine="708"/>
        <w:jc w:val="center"/>
        <w:rPr>
          <w:rFonts w:ascii="Times New Roman" w:hAnsi="Times New Roman"/>
        </w:rPr>
      </w:pPr>
      <w:r>
        <w:rPr>
          <w:b/>
          <w:bCs/>
          <w:sz w:val="20"/>
          <w:szCs w:val="20"/>
        </w:rPr>
        <w:t>INDICADOR 1: DISPONIBILIDADE DOS SERVIÇOS CRÍTICOS</w:t>
      </w:r>
    </w:p>
    <w:tbl>
      <w:tblPr>
        <w:tblW w:w="8839" w:type="dxa"/>
        <w:jc w:val="center"/>
        <w:tblInd w:w="0" w:type="dxa"/>
        <w:tblLayout w:type="fixed"/>
        <w:tblCellMar>
          <w:top w:w="0" w:type="dxa"/>
          <w:left w:w="70" w:type="dxa"/>
          <w:bottom w:w="0" w:type="dxa"/>
          <w:right w:w="70" w:type="dxa"/>
        </w:tblCellMar>
      </w:tblPr>
      <w:tblGrid>
        <w:gridCol w:w="1845"/>
        <w:gridCol w:w="6993"/>
      </w:tblGrid>
      <w:tr>
        <w:trPr>
          <w:trHeight w:val="315" w:hRule="atLeast"/>
          <w:cantSplit w:val="true"/>
        </w:trPr>
        <w:tc>
          <w:tcPr>
            <w:tcW w:w="1845" w:type="dxa"/>
            <w:tcBorders>
              <w:top w:val="single" w:sz="4" w:space="0" w:color="000000"/>
              <w:left w:val="single" w:sz="4" w:space="0" w:color="000000"/>
              <w:bottom w:val="single" w:sz="4" w:space="0" w:color="000000"/>
            </w:tcBorders>
            <w:shd w:color="auto" w:fill="D9D9D9"/>
            <w:vAlign w:val="center"/>
          </w:tcPr>
          <w:p>
            <w:pPr>
              <w:pStyle w:val="Normal"/>
              <w:widowControl w:val="false"/>
              <w:tabs>
                <w:tab w:val="clear" w:pos="709"/>
              </w:tabs>
              <w:spacing w:lineRule="auto" w:line="276"/>
              <w:jc w:val="both"/>
              <w:rPr>
                <w:rFonts w:ascii="Times New Roman" w:hAnsi="Times New Roman"/>
              </w:rPr>
            </w:pPr>
            <w:r>
              <w:rPr>
                <w:b/>
                <w:bCs/>
                <w:sz w:val="20"/>
                <w:szCs w:val="20"/>
              </w:rPr>
              <w:t>Indicador</w:t>
            </w:r>
          </w:p>
        </w:tc>
        <w:tc>
          <w:tcPr>
            <w:tcW w:w="6993" w:type="dxa"/>
            <w:tcBorders>
              <w:top w:val="single" w:sz="4" w:space="0" w:color="000000"/>
              <w:left w:val="single" w:sz="4" w:space="0" w:color="000000"/>
              <w:bottom w:val="single" w:sz="4" w:space="0" w:color="000000"/>
              <w:right w:val="single" w:sz="4" w:space="0" w:color="000000"/>
            </w:tcBorders>
            <w:shd w:color="auto" w:fill="D9D9D9"/>
            <w:vAlign w:val="center"/>
          </w:tcPr>
          <w:p>
            <w:pPr>
              <w:pStyle w:val="Normal"/>
              <w:widowControl w:val="false"/>
              <w:tabs>
                <w:tab w:val="clear" w:pos="709"/>
              </w:tabs>
              <w:spacing w:lineRule="auto" w:line="276" w:before="120" w:after="120"/>
              <w:jc w:val="both"/>
              <w:rPr>
                <w:rFonts w:ascii="Times New Roman" w:hAnsi="Times New Roman"/>
              </w:rPr>
            </w:pPr>
            <w:r>
              <w:rPr>
                <w:sz w:val="20"/>
                <w:szCs w:val="20"/>
              </w:rPr>
              <w:t>Disponibilidade dos Serviços Críticos (Mensal)</w:t>
            </w:r>
          </w:p>
        </w:tc>
      </w:tr>
      <w:tr>
        <w:trPr>
          <w:trHeight w:val="315" w:hRule="atLeast"/>
          <w:cantSplit w:val="true"/>
        </w:trPr>
        <w:tc>
          <w:tcPr>
            <w:tcW w:w="1845" w:type="dxa"/>
            <w:tcBorders>
              <w:top w:val="single" w:sz="4" w:space="0" w:color="000000"/>
              <w:left w:val="single" w:sz="4" w:space="0" w:color="000000"/>
              <w:bottom w:val="single" w:sz="4" w:space="0" w:color="000000"/>
            </w:tcBorders>
            <w:vAlign w:val="center"/>
          </w:tcPr>
          <w:p>
            <w:pPr>
              <w:pStyle w:val="Normal"/>
              <w:widowControl w:val="false"/>
              <w:tabs>
                <w:tab w:val="clear" w:pos="709"/>
              </w:tabs>
              <w:spacing w:lineRule="auto" w:line="276"/>
              <w:jc w:val="both"/>
              <w:rPr>
                <w:rFonts w:ascii="Times New Roman" w:hAnsi="Times New Roman"/>
              </w:rPr>
            </w:pPr>
            <w:r>
              <w:rPr>
                <w:b/>
                <w:bCs/>
                <w:sz w:val="20"/>
                <w:szCs w:val="20"/>
              </w:rPr>
              <w:t>Descrição</w:t>
            </w:r>
          </w:p>
        </w:tc>
        <w:tc>
          <w:tcPr>
            <w:tcW w:w="699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s>
              <w:spacing w:lineRule="auto" w:line="276" w:before="120" w:after="120"/>
              <w:jc w:val="both"/>
              <w:rPr>
                <w:rFonts w:ascii="Times New Roman" w:hAnsi="Times New Roman"/>
              </w:rPr>
            </w:pPr>
            <w:r>
              <w:rPr>
                <w:sz w:val="20"/>
                <w:szCs w:val="20"/>
              </w:rPr>
              <w:t>Os serviços considerados críticos e quaisquer outros que deem suporte a eles deverão permanecer disponíveis para uso, em regime de segunda a sexta de 8:00 às 18:00, desconsiderando as manutenções programadas nos feriados e finais de semana.</w:t>
            </w:r>
          </w:p>
        </w:tc>
      </w:tr>
      <w:tr>
        <w:trPr>
          <w:trHeight w:val="315" w:hRule="atLeast"/>
          <w:cantSplit w:val="true"/>
        </w:trPr>
        <w:tc>
          <w:tcPr>
            <w:tcW w:w="1845" w:type="dxa"/>
            <w:tcBorders>
              <w:top w:val="single" w:sz="4" w:space="0" w:color="000000"/>
              <w:left w:val="single" w:sz="4" w:space="0" w:color="000000"/>
              <w:bottom w:val="single" w:sz="4" w:space="0" w:color="000000"/>
            </w:tcBorders>
            <w:vAlign w:val="center"/>
          </w:tcPr>
          <w:p>
            <w:pPr>
              <w:pStyle w:val="Normal"/>
              <w:widowControl w:val="false"/>
              <w:tabs>
                <w:tab w:val="clear" w:pos="709"/>
              </w:tabs>
              <w:spacing w:lineRule="auto" w:line="276"/>
              <w:jc w:val="both"/>
              <w:rPr>
                <w:rFonts w:ascii="Times New Roman" w:hAnsi="Times New Roman"/>
              </w:rPr>
            </w:pPr>
            <w:r>
              <w:rPr>
                <w:b/>
                <w:bCs/>
                <w:sz w:val="20"/>
                <w:szCs w:val="20"/>
              </w:rPr>
              <w:t>Serviços Críticos</w:t>
            </w:r>
          </w:p>
        </w:tc>
        <w:tc>
          <w:tcPr>
            <w:tcW w:w="699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s>
              <w:spacing w:lineRule="auto" w:line="276" w:before="120" w:after="120"/>
              <w:jc w:val="both"/>
              <w:rPr>
                <w:rFonts w:ascii="Times New Roman" w:hAnsi="Times New Roman"/>
              </w:rPr>
            </w:pPr>
            <w:r>
              <w:rPr>
                <w:sz w:val="20"/>
                <w:szCs w:val="20"/>
              </w:rPr>
              <w:t>Indisponibilidade de serviços que afetem o andamento do processo licitatório, indisponibilidade do ente comprador.</w:t>
            </w:r>
          </w:p>
        </w:tc>
      </w:tr>
      <w:tr>
        <w:trPr>
          <w:trHeight w:val="315" w:hRule="atLeast"/>
          <w:cantSplit w:val="true"/>
        </w:trPr>
        <w:tc>
          <w:tcPr>
            <w:tcW w:w="1845" w:type="dxa"/>
            <w:tcBorders>
              <w:top w:val="single" w:sz="4" w:space="0" w:color="000000"/>
              <w:left w:val="single" w:sz="4" w:space="0" w:color="000000"/>
              <w:bottom w:val="single" w:sz="4" w:space="0" w:color="000000"/>
            </w:tcBorders>
            <w:vAlign w:val="center"/>
          </w:tcPr>
          <w:p>
            <w:pPr>
              <w:pStyle w:val="Normal"/>
              <w:widowControl w:val="false"/>
              <w:tabs>
                <w:tab w:val="clear" w:pos="709"/>
              </w:tabs>
              <w:spacing w:lineRule="auto" w:line="276"/>
              <w:jc w:val="both"/>
              <w:rPr>
                <w:rFonts w:ascii="Times New Roman" w:hAnsi="Times New Roman"/>
              </w:rPr>
            </w:pPr>
            <w:r>
              <w:rPr>
                <w:b/>
                <w:bCs/>
                <w:sz w:val="20"/>
                <w:szCs w:val="20"/>
              </w:rPr>
              <w:t>Medição</w:t>
            </w:r>
          </w:p>
        </w:tc>
        <w:tc>
          <w:tcPr>
            <w:tcW w:w="699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s>
              <w:spacing w:lineRule="auto" w:line="276" w:before="120" w:after="120"/>
              <w:jc w:val="both"/>
              <w:rPr>
                <w:rFonts w:ascii="Times New Roman" w:hAnsi="Times New Roman"/>
              </w:rPr>
            </w:pPr>
            <w:r>
              <w:rPr>
                <w:sz w:val="20"/>
                <w:szCs w:val="20"/>
              </w:rPr>
              <w:t>O acompanhamento será feito através das ferramentas disponíveis, utilizadas pela CONTRATADA, por meio de formalização do CONTRATANTE via e-mail.</w:t>
            </w:r>
          </w:p>
        </w:tc>
      </w:tr>
      <w:tr>
        <w:trPr>
          <w:trHeight w:val="315" w:hRule="atLeast"/>
          <w:cantSplit w:val="true"/>
        </w:trPr>
        <w:tc>
          <w:tcPr>
            <w:tcW w:w="1845" w:type="dxa"/>
            <w:tcBorders>
              <w:top w:val="single" w:sz="4" w:space="0" w:color="000000"/>
              <w:left w:val="single" w:sz="4" w:space="0" w:color="000000"/>
              <w:bottom w:val="single" w:sz="4" w:space="0" w:color="000000"/>
            </w:tcBorders>
            <w:vAlign w:val="center"/>
          </w:tcPr>
          <w:p>
            <w:pPr>
              <w:pStyle w:val="Normal"/>
              <w:widowControl w:val="false"/>
              <w:tabs>
                <w:tab w:val="clear" w:pos="709"/>
              </w:tabs>
              <w:spacing w:lineRule="auto" w:line="276"/>
              <w:ind w:left="993" w:right="0" w:hanging="993"/>
              <w:jc w:val="both"/>
              <w:rPr>
                <w:rFonts w:ascii="Times New Roman" w:hAnsi="Times New Roman"/>
              </w:rPr>
            </w:pPr>
            <w:r>
              <w:rPr>
                <w:b/>
                <w:bCs/>
                <w:sz w:val="20"/>
                <w:szCs w:val="20"/>
              </w:rPr>
              <w:t>Meta</w:t>
            </w:r>
          </w:p>
        </w:tc>
        <w:tc>
          <w:tcPr>
            <w:tcW w:w="699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s>
              <w:spacing w:lineRule="auto" w:line="276" w:before="120" w:after="120"/>
              <w:ind w:left="993" w:right="0" w:hanging="993"/>
              <w:jc w:val="both"/>
              <w:rPr>
                <w:rFonts w:ascii="Times New Roman" w:hAnsi="Times New Roman"/>
              </w:rPr>
            </w:pPr>
            <w:r>
              <w:rPr>
                <w:sz w:val="20"/>
                <w:szCs w:val="20"/>
              </w:rPr>
              <w:t>99% de disponibilidade/mensal</w:t>
            </w:r>
          </w:p>
        </w:tc>
      </w:tr>
      <w:tr>
        <w:trPr>
          <w:trHeight w:val="315" w:hRule="atLeast"/>
          <w:cantSplit w:val="true"/>
        </w:trPr>
        <w:tc>
          <w:tcPr>
            <w:tcW w:w="1845" w:type="dxa"/>
            <w:tcBorders>
              <w:top w:val="single" w:sz="4" w:space="0" w:color="000000"/>
              <w:left w:val="single" w:sz="4" w:space="0" w:color="000000"/>
              <w:bottom w:val="single" w:sz="4" w:space="0" w:color="000000"/>
            </w:tcBorders>
            <w:vAlign w:val="center"/>
          </w:tcPr>
          <w:p>
            <w:pPr>
              <w:pStyle w:val="Normal"/>
              <w:widowControl w:val="false"/>
              <w:tabs>
                <w:tab w:val="clear" w:pos="709"/>
              </w:tabs>
              <w:spacing w:lineRule="auto" w:line="276"/>
              <w:ind w:left="993" w:right="0" w:hanging="993"/>
              <w:jc w:val="both"/>
              <w:rPr>
                <w:rFonts w:ascii="Times New Roman" w:hAnsi="Times New Roman"/>
              </w:rPr>
            </w:pPr>
            <w:r>
              <w:rPr>
                <w:b/>
                <w:bCs/>
                <w:sz w:val="20"/>
                <w:szCs w:val="20"/>
              </w:rPr>
              <w:t>Ocorrência</w:t>
            </w:r>
          </w:p>
        </w:tc>
        <w:tc>
          <w:tcPr>
            <w:tcW w:w="699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s>
              <w:spacing w:lineRule="auto" w:line="276" w:before="120" w:after="120"/>
              <w:jc w:val="both"/>
              <w:rPr>
                <w:rFonts w:ascii="Times New Roman" w:hAnsi="Times New Roman"/>
              </w:rPr>
            </w:pPr>
            <w:r>
              <w:rPr>
                <w:sz w:val="20"/>
                <w:szCs w:val="20"/>
              </w:rPr>
              <w:t>Não cumprimento da disponibilidade estabelecida.</w:t>
            </w:r>
          </w:p>
        </w:tc>
      </w:tr>
      <w:tr>
        <w:trPr>
          <w:trHeight w:val="315" w:hRule="atLeast"/>
          <w:cantSplit w:val="true"/>
        </w:trPr>
        <w:tc>
          <w:tcPr>
            <w:tcW w:w="1845" w:type="dxa"/>
            <w:tcBorders>
              <w:top w:val="single" w:sz="4" w:space="0" w:color="000000"/>
              <w:left w:val="single" w:sz="4" w:space="0" w:color="000000"/>
              <w:bottom w:val="single" w:sz="4" w:space="0" w:color="000000"/>
            </w:tcBorders>
            <w:vAlign w:val="center"/>
          </w:tcPr>
          <w:p>
            <w:pPr>
              <w:pStyle w:val="Normal"/>
              <w:widowControl w:val="false"/>
              <w:tabs>
                <w:tab w:val="clear" w:pos="709"/>
              </w:tabs>
              <w:spacing w:lineRule="auto" w:line="276"/>
              <w:ind w:left="-4" w:right="0" w:firstLine="4"/>
              <w:jc w:val="both"/>
              <w:rPr>
                <w:rFonts w:ascii="Times New Roman" w:hAnsi="Times New Roman"/>
              </w:rPr>
            </w:pPr>
            <w:r>
              <w:rPr>
                <w:b/>
                <w:bCs/>
                <w:sz w:val="20"/>
                <w:szCs w:val="20"/>
              </w:rPr>
              <w:t>Tempo de Atendimento</w:t>
            </w:r>
          </w:p>
        </w:tc>
        <w:tc>
          <w:tcPr>
            <w:tcW w:w="699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s>
              <w:spacing w:lineRule="auto" w:line="276" w:before="120" w:after="120"/>
              <w:jc w:val="both"/>
              <w:rPr>
                <w:rFonts w:ascii="Times New Roman" w:hAnsi="Times New Roman"/>
              </w:rPr>
            </w:pPr>
            <w:r>
              <w:rPr>
                <w:sz w:val="20"/>
                <w:szCs w:val="20"/>
              </w:rPr>
              <w:t>2 (duas) horas</w:t>
            </w:r>
          </w:p>
        </w:tc>
      </w:tr>
      <w:tr>
        <w:trPr>
          <w:trHeight w:val="315" w:hRule="atLeast"/>
          <w:cantSplit w:val="true"/>
        </w:trPr>
        <w:tc>
          <w:tcPr>
            <w:tcW w:w="1845" w:type="dxa"/>
            <w:tcBorders>
              <w:top w:val="single" w:sz="4" w:space="0" w:color="000000"/>
              <w:left w:val="single" w:sz="4" w:space="0" w:color="000000"/>
              <w:bottom w:val="single" w:sz="4" w:space="0" w:color="000000"/>
            </w:tcBorders>
            <w:vAlign w:val="center"/>
          </w:tcPr>
          <w:p>
            <w:pPr>
              <w:pStyle w:val="Normal"/>
              <w:widowControl w:val="false"/>
              <w:tabs>
                <w:tab w:val="clear" w:pos="709"/>
              </w:tabs>
              <w:spacing w:lineRule="auto" w:line="276"/>
              <w:ind w:left="0" w:right="0" w:hanging="0"/>
              <w:jc w:val="both"/>
              <w:rPr>
                <w:rFonts w:ascii="Times New Roman" w:hAnsi="Times New Roman"/>
              </w:rPr>
            </w:pPr>
            <w:r>
              <w:rPr>
                <w:b/>
                <w:bCs/>
                <w:sz w:val="20"/>
                <w:szCs w:val="20"/>
              </w:rPr>
              <w:t>Multa compensatória</w:t>
            </w:r>
          </w:p>
        </w:tc>
        <w:tc>
          <w:tcPr>
            <w:tcW w:w="699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s>
              <w:spacing w:lineRule="auto" w:line="276" w:before="120" w:after="120"/>
              <w:ind w:left="0" w:right="0" w:hanging="0"/>
              <w:jc w:val="both"/>
              <w:rPr>
                <w:rFonts w:ascii="Times New Roman" w:hAnsi="Times New Roman"/>
              </w:rPr>
            </w:pPr>
            <w:r>
              <w:rPr>
                <w:sz w:val="20"/>
                <w:szCs w:val="20"/>
              </w:rPr>
              <w:t>1 ocorrência/mensal valor de R$ 500,00 (quinhentos reais), não atendida após o prazo de atendimento.</w:t>
            </w:r>
          </w:p>
          <w:p>
            <w:pPr>
              <w:pStyle w:val="Normal"/>
              <w:widowControl w:val="false"/>
              <w:tabs>
                <w:tab w:val="clear" w:pos="709"/>
              </w:tabs>
              <w:spacing w:lineRule="auto" w:line="276" w:before="120" w:after="120"/>
              <w:ind w:left="0" w:right="0" w:hanging="0"/>
              <w:jc w:val="both"/>
              <w:rPr>
                <w:rFonts w:ascii="Times New Roman" w:hAnsi="Times New Roman"/>
              </w:rPr>
            </w:pPr>
            <w:r>
              <w:rPr>
                <w:sz w:val="20"/>
                <w:szCs w:val="20"/>
              </w:rPr>
              <w:t>2 ocorrências/mensais valor de R$ 1.000,00 (mil reais), não atendida após o prazo de atendimento.</w:t>
            </w:r>
          </w:p>
          <w:p>
            <w:pPr>
              <w:pStyle w:val="ListParagraph"/>
              <w:widowControl w:val="false"/>
              <w:numPr>
                <w:ilvl w:val="0"/>
                <w:numId w:val="15"/>
              </w:numPr>
              <w:tabs>
                <w:tab w:val="clear" w:pos="709"/>
              </w:tabs>
              <w:spacing w:lineRule="auto" w:line="240" w:before="120" w:after="120"/>
              <w:contextualSpacing/>
              <w:jc w:val="both"/>
              <w:rPr>
                <w:rFonts w:ascii="Times New Roman" w:hAnsi="Times New Roman"/>
              </w:rPr>
            </w:pPr>
            <w:r>
              <w:rPr>
                <w:rFonts w:cs="Arial" w:ascii="Times New Roman" w:hAnsi="Times New Roman"/>
                <w:sz w:val="20"/>
                <w:szCs w:val="20"/>
              </w:rPr>
              <w:t>ocorrências ou mais/mensais valor de 1.500,00 (mil e quinhentos reais), não atendida após o prazo de atendimento.</w:t>
            </w:r>
          </w:p>
        </w:tc>
      </w:tr>
    </w:tbl>
    <w:p>
      <w:pPr>
        <w:pStyle w:val="Normal"/>
        <w:widowControl w:val="false"/>
        <w:spacing w:lineRule="auto" w:line="276"/>
        <w:ind w:left="0" w:right="0" w:firstLine="426"/>
        <w:rPr>
          <w:rFonts w:ascii="Times New Roman" w:hAnsi="Times New Roman"/>
          <w:b/>
          <w:b/>
          <w:bCs/>
          <w:sz w:val="20"/>
          <w:szCs w:val="20"/>
        </w:rPr>
      </w:pPr>
      <w:r>
        <w:rPr>
          <w:b/>
          <w:bCs/>
          <w:sz w:val="20"/>
          <w:szCs w:val="20"/>
        </w:rPr>
      </w:r>
    </w:p>
    <w:p>
      <w:pPr>
        <w:pStyle w:val="Normal"/>
        <w:spacing w:lineRule="auto" w:line="276"/>
        <w:ind w:left="0" w:right="0" w:hanging="0"/>
        <w:rPr>
          <w:rFonts w:ascii="Times New Roman" w:hAnsi="Times New Roman"/>
          <w:b/>
          <w:b/>
          <w:bCs/>
          <w:sz w:val="20"/>
          <w:szCs w:val="20"/>
        </w:rPr>
      </w:pPr>
      <w:r>
        <w:rPr>
          <w:b/>
          <w:bCs/>
          <w:sz w:val="20"/>
          <w:szCs w:val="20"/>
        </w:rPr>
      </w:r>
    </w:p>
    <w:p>
      <w:pPr>
        <w:pStyle w:val="Normal"/>
        <w:spacing w:lineRule="auto" w:line="276" w:before="120" w:after="120"/>
        <w:ind w:left="0" w:right="0" w:firstLine="708"/>
        <w:jc w:val="center"/>
        <w:rPr>
          <w:rFonts w:ascii="Times New Roman" w:hAnsi="Times New Roman"/>
        </w:rPr>
      </w:pPr>
      <w:r>
        <w:rPr>
          <w:b/>
          <w:bCs/>
          <w:sz w:val="20"/>
          <w:szCs w:val="20"/>
        </w:rPr>
        <w:t>INDICADOR 2: ATENDIMENTOS QUE NÃO IMPEDEM A OPERAÇÃO</w:t>
      </w:r>
    </w:p>
    <w:tbl>
      <w:tblPr>
        <w:tblW w:w="8509" w:type="dxa"/>
        <w:jc w:val="center"/>
        <w:tblInd w:w="0" w:type="dxa"/>
        <w:tblLayout w:type="fixed"/>
        <w:tblCellMar>
          <w:top w:w="0" w:type="dxa"/>
          <w:left w:w="70" w:type="dxa"/>
          <w:bottom w:w="0" w:type="dxa"/>
          <w:right w:w="70" w:type="dxa"/>
        </w:tblCellMar>
      </w:tblPr>
      <w:tblGrid>
        <w:gridCol w:w="1848"/>
        <w:gridCol w:w="6660"/>
      </w:tblGrid>
      <w:tr>
        <w:trPr>
          <w:trHeight w:val="315" w:hRule="atLeast"/>
          <w:cantSplit w:val="true"/>
        </w:trPr>
        <w:tc>
          <w:tcPr>
            <w:tcW w:w="1848" w:type="dxa"/>
            <w:tcBorders>
              <w:top w:val="single" w:sz="4" w:space="0" w:color="000000"/>
              <w:left w:val="single" w:sz="4" w:space="0" w:color="000000"/>
              <w:bottom w:val="single" w:sz="4" w:space="0" w:color="000000"/>
            </w:tcBorders>
            <w:shd w:color="auto" w:fill="D9D9D9"/>
            <w:vAlign w:val="center"/>
          </w:tcPr>
          <w:p>
            <w:pPr>
              <w:pStyle w:val="Normal"/>
              <w:widowControl w:val="false"/>
              <w:tabs>
                <w:tab w:val="clear" w:pos="709"/>
              </w:tabs>
              <w:spacing w:lineRule="auto" w:line="276"/>
              <w:ind w:left="993" w:right="0" w:hanging="993"/>
              <w:jc w:val="both"/>
              <w:rPr>
                <w:rFonts w:ascii="Times New Roman" w:hAnsi="Times New Roman"/>
              </w:rPr>
            </w:pPr>
            <w:r>
              <w:rPr>
                <w:b/>
                <w:bCs/>
                <w:sz w:val="20"/>
                <w:szCs w:val="20"/>
              </w:rPr>
              <w:t>Indicador</w:t>
            </w:r>
          </w:p>
        </w:tc>
        <w:tc>
          <w:tcPr>
            <w:tcW w:w="6660" w:type="dxa"/>
            <w:tcBorders>
              <w:top w:val="single" w:sz="4" w:space="0" w:color="000000"/>
              <w:left w:val="single" w:sz="4" w:space="0" w:color="000000"/>
              <w:bottom w:val="single" w:sz="4" w:space="0" w:color="000000"/>
              <w:right w:val="single" w:sz="4" w:space="0" w:color="000000"/>
            </w:tcBorders>
            <w:shd w:color="auto" w:fill="D9D9D9"/>
            <w:vAlign w:val="center"/>
          </w:tcPr>
          <w:p>
            <w:pPr>
              <w:pStyle w:val="Normal"/>
              <w:widowControl w:val="false"/>
              <w:tabs>
                <w:tab w:val="clear" w:pos="709"/>
              </w:tabs>
              <w:spacing w:lineRule="auto" w:line="276" w:before="120" w:after="120"/>
              <w:ind w:left="993" w:right="0" w:hanging="993"/>
              <w:jc w:val="both"/>
              <w:rPr>
                <w:rFonts w:ascii="Times New Roman" w:hAnsi="Times New Roman"/>
              </w:rPr>
            </w:pPr>
            <w:r>
              <w:rPr>
                <w:sz w:val="20"/>
                <w:szCs w:val="20"/>
              </w:rPr>
              <w:t>Atendimentos que não paralisem serviços críticos (Mensal)</w:t>
            </w:r>
          </w:p>
        </w:tc>
      </w:tr>
      <w:tr>
        <w:trPr>
          <w:trHeight w:val="315" w:hRule="atLeast"/>
          <w:cantSplit w:val="true"/>
        </w:trPr>
        <w:tc>
          <w:tcPr>
            <w:tcW w:w="1848" w:type="dxa"/>
            <w:tcBorders>
              <w:top w:val="single" w:sz="4" w:space="0" w:color="000000"/>
              <w:left w:val="single" w:sz="4" w:space="0" w:color="000000"/>
              <w:bottom w:val="single" w:sz="4" w:space="0" w:color="000000"/>
            </w:tcBorders>
            <w:vAlign w:val="center"/>
          </w:tcPr>
          <w:p>
            <w:pPr>
              <w:pStyle w:val="Normal"/>
              <w:widowControl w:val="false"/>
              <w:tabs>
                <w:tab w:val="clear" w:pos="709"/>
              </w:tabs>
              <w:spacing w:lineRule="auto" w:line="276"/>
              <w:ind w:left="993" w:right="0" w:hanging="993"/>
              <w:jc w:val="both"/>
              <w:rPr>
                <w:rFonts w:ascii="Times New Roman" w:hAnsi="Times New Roman"/>
              </w:rPr>
            </w:pPr>
            <w:r>
              <w:rPr>
                <w:b/>
                <w:bCs/>
                <w:sz w:val="20"/>
                <w:szCs w:val="20"/>
              </w:rPr>
              <w:t>Descrição</w:t>
            </w:r>
          </w:p>
        </w:tc>
        <w:tc>
          <w:tcPr>
            <w:tcW w:w="666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s>
              <w:spacing w:lineRule="auto" w:line="276" w:before="120" w:after="120"/>
              <w:jc w:val="both"/>
              <w:rPr>
                <w:rFonts w:ascii="Times New Roman" w:hAnsi="Times New Roman"/>
              </w:rPr>
            </w:pPr>
            <w:r>
              <w:rPr>
                <w:sz w:val="20"/>
                <w:szCs w:val="20"/>
              </w:rPr>
              <w:t>Medir a quantidade de ocorrências de incidentes causados pela CONTRATADA em serviços que não impactam diretamente a operação.</w:t>
            </w:r>
          </w:p>
          <w:p>
            <w:pPr>
              <w:pStyle w:val="Corpodotexto"/>
              <w:widowControl w:val="false"/>
              <w:tabs>
                <w:tab w:val="clear" w:pos="709"/>
              </w:tabs>
              <w:spacing w:lineRule="auto" w:line="240" w:before="0" w:after="240"/>
              <w:rPr>
                <w:rFonts w:ascii="Times New Roman" w:hAnsi="Times New Roman"/>
              </w:rPr>
            </w:pPr>
            <w:r>
              <w:rPr>
                <w:rFonts w:cs="Arial" w:ascii="Times New Roman" w:hAnsi="Times New Roman"/>
                <w:sz w:val="20"/>
              </w:rPr>
              <w:t>Serão computados para o indicador de solicitações todas as ocorrências e falhas ligadas com os serviços relacionados diretamente ao processo de compras, como por exemplo: liberação de acessos do ente comprador, revisão de atos administrativos, revisão de prazos processuais, desde que aplicável juridicamente.</w:t>
            </w:r>
          </w:p>
        </w:tc>
      </w:tr>
      <w:tr>
        <w:trPr>
          <w:trHeight w:val="315" w:hRule="atLeast"/>
          <w:cantSplit w:val="true"/>
        </w:trPr>
        <w:tc>
          <w:tcPr>
            <w:tcW w:w="1848" w:type="dxa"/>
            <w:tcBorders>
              <w:top w:val="single" w:sz="4" w:space="0" w:color="000000"/>
              <w:left w:val="single" w:sz="4" w:space="0" w:color="000000"/>
              <w:bottom w:val="single" w:sz="4" w:space="0" w:color="000000"/>
            </w:tcBorders>
            <w:vAlign w:val="center"/>
          </w:tcPr>
          <w:p>
            <w:pPr>
              <w:pStyle w:val="Normal"/>
              <w:widowControl w:val="false"/>
              <w:tabs>
                <w:tab w:val="clear" w:pos="709"/>
              </w:tabs>
              <w:spacing w:lineRule="auto" w:line="276"/>
              <w:ind w:left="993" w:right="0" w:hanging="993"/>
              <w:jc w:val="both"/>
              <w:rPr>
                <w:rFonts w:ascii="Times New Roman" w:hAnsi="Times New Roman"/>
              </w:rPr>
            </w:pPr>
            <w:r>
              <w:rPr>
                <w:b/>
                <w:bCs/>
                <w:sz w:val="20"/>
                <w:szCs w:val="20"/>
              </w:rPr>
              <w:t>Medição</w:t>
            </w:r>
          </w:p>
        </w:tc>
        <w:tc>
          <w:tcPr>
            <w:tcW w:w="6660" w:type="dxa"/>
            <w:tcBorders>
              <w:top w:val="single" w:sz="4" w:space="0" w:color="000000"/>
              <w:left w:val="single" w:sz="4" w:space="0" w:color="000000"/>
              <w:bottom w:val="single" w:sz="4" w:space="0" w:color="000000"/>
              <w:right w:val="single" w:sz="4" w:space="0" w:color="000000"/>
            </w:tcBorders>
            <w:vAlign w:val="bottom"/>
          </w:tcPr>
          <w:p>
            <w:pPr>
              <w:pStyle w:val="Corpodotexto"/>
              <w:widowControl w:val="false"/>
              <w:tabs>
                <w:tab w:val="clear" w:pos="709"/>
              </w:tabs>
              <w:spacing w:lineRule="auto" w:line="240" w:before="0" w:after="240"/>
              <w:rPr>
                <w:rFonts w:ascii="Times New Roman" w:hAnsi="Times New Roman"/>
              </w:rPr>
            </w:pPr>
            <w:r>
              <w:rPr>
                <w:rFonts w:cs="Arial" w:ascii="Times New Roman" w:hAnsi="Times New Roman"/>
                <w:sz w:val="20"/>
              </w:rPr>
              <w:t>O acompanhamento será feito pela CONTRATADA e pela Contratante através do número de chamados para abertura da solicitação por meio de ferramenta que registrará a ocorrência.</w:t>
            </w:r>
          </w:p>
        </w:tc>
      </w:tr>
      <w:tr>
        <w:trPr>
          <w:trHeight w:val="315" w:hRule="atLeast"/>
          <w:cantSplit w:val="true"/>
        </w:trPr>
        <w:tc>
          <w:tcPr>
            <w:tcW w:w="1848" w:type="dxa"/>
            <w:tcBorders>
              <w:top w:val="single" w:sz="4" w:space="0" w:color="000000"/>
              <w:left w:val="single" w:sz="4" w:space="0" w:color="000000"/>
              <w:bottom w:val="single" w:sz="4" w:space="0" w:color="000000"/>
            </w:tcBorders>
            <w:vAlign w:val="center"/>
          </w:tcPr>
          <w:p>
            <w:pPr>
              <w:pStyle w:val="Normal"/>
              <w:widowControl w:val="false"/>
              <w:tabs>
                <w:tab w:val="clear" w:pos="709"/>
              </w:tabs>
              <w:spacing w:lineRule="auto" w:line="276"/>
              <w:ind w:left="993" w:right="0" w:hanging="993"/>
              <w:jc w:val="both"/>
              <w:rPr>
                <w:rFonts w:ascii="Times New Roman" w:hAnsi="Times New Roman"/>
              </w:rPr>
            </w:pPr>
            <w:r>
              <w:rPr>
                <w:b/>
                <w:bCs/>
                <w:sz w:val="20"/>
                <w:szCs w:val="20"/>
              </w:rPr>
              <w:t>Meta</w:t>
            </w:r>
          </w:p>
        </w:tc>
        <w:tc>
          <w:tcPr>
            <w:tcW w:w="666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s>
              <w:spacing w:lineRule="auto" w:line="276" w:before="120" w:after="120"/>
              <w:ind w:left="993" w:right="0" w:hanging="993"/>
              <w:jc w:val="both"/>
              <w:rPr>
                <w:rFonts w:ascii="Times New Roman" w:hAnsi="Times New Roman"/>
              </w:rPr>
            </w:pPr>
            <w:r>
              <w:rPr>
                <w:sz w:val="20"/>
                <w:szCs w:val="20"/>
              </w:rPr>
              <w:t>Número de incidentes &lt;= 2</w:t>
            </w:r>
          </w:p>
        </w:tc>
      </w:tr>
      <w:tr>
        <w:trPr>
          <w:trHeight w:val="315" w:hRule="atLeast"/>
          <w:cantSplit w:val="true"/>
        </w:trPr>
        <w:tc>
          <w:tcPr>
            <w:tcW w:w="1848" w:type="dxa"/>
            <w:tcBorders>
              <w:top w:val="single" w:sz="4" w:space="0" w:color="000000"/>
              <w:left w:val="single" w:sz="4" w:space="0" w:color="000000"/>
              <w:bottom w:val="single" w:sz="4" w:space="0" w:color="000000"/>
            </w:tcBorders>
            <w:vAlign w:val="center"/>
          </w:tcPr>
          <w:p>
            <w:pPr>
              <w:pStyle w:val="Normal"/>
              <w:widowControl w:val="false"/>
              <w:tabs>
                <w:tab w:val="clear" w:pos="709"/>
              </w:tabs>
              <w:spacing w:lineRule="auto" w:line="276"/>
              <w:ind w:left="993" w:right="0" w:hanging="993"/>
              <w:jc w:val="both"/>
              <w:rPr>
                <w:rFonts w:ascii="Times New Roman" w:hAnsi="Times New Roman"/>
              </w:rPr>
            </w:pPr>
            <w:r>
              <w:rPr>
                <w:b/>
                <w:bCs/>
                <w:sz w:val="20"/>
                <w:szCs w:val="20"/>
              </w:rPr>
              <w:t>Ocorrência</w:t>
            </w:r>
          </w:p>
        </w:tc>
        <w:tc>
          <w:tcPr>
            <w:tcW w:w="666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s>
              <w:spacing w:lineRule="auto" w:line="276" w:before="120" w:after="120"/>
              <w:ind w:left="993" w:right="0" w:hanging="993"/>
              <w:jc w:val="both"/>
              <w:rPr>
                <w:rFonts w:ascii="Times New Roman" w:hAnsi="Times New Roman"/>
              </w:rPr>
            </w:pPr>
            <w:r>
              <w:rPr>
                <w:sz w:val="20"/>
                <w:szCs w:val="20"/>
              </w:rPr>
              <w:t>Número superior à quantidade permitida (2 incidentes)</w:t>
            </w:r>
          </w:p>
        </w:tc>
      </w:tr>
      <w:tr>
        <w:trPr>
          <w:trHeight w:val="315" w:hRule="atLeast"/>
          <w:cantSplit w:val="true"/>
        </w:trPr>
        <w:tc>
          <w:tcPr>
            <w:tcW w:w="1848" w:type="dxa"/>
            <w:tcBorders>
              <w:top w:val="single" w:sz="4" w:space="0" w:color="000000"/>
              <w:left w:val="single" w:sz="4" w:space="0" w:color="000000"/>
              <w:bottom w:val="single" w:sz="4" w:space="0" w:color="000000"/>
            </w:tcBorders>
            <w:vAlign w:val="center"/>
          </w:tcPr>
          <w:p>
            <w:pPr>
              <w:pStyle w:val="Normal"/>
              <w:widowControl w:val="false"/>
              <w:tabs>
                <w:tab w:val="clear" w:pos="709"/>
              </w:tabs>
              <w:spacing w:lineRule="auto" w:line="276"/>
              <w:ind w:left="0" w:right="0" w:hanging="0"/>
              <w:jc w:val="both"/>
              <w:rPr>
                <w:rFonts w:ascii="Times New Roman" w:hAnsi="Times New Roman"/>
              </w:rPr>
            </w:pPr>
            <w:r>
              <w:rPr>
                <w:b/>
                <w:bCs/>
                <w:sz w:val="20"/>
                <w:szCs w:val="20"/>
              </w:rPr>
              <w:t>Tempo de Atendimento</w:t>
            </w:r>
          </w:p>
        </w:tc>
        <w:tc>
          <w:tcPr>
            <w:tcW w:w="666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s>
              <w:spacing w:lineRule="auto" w:line="276" w:before="120" w:after="120"/>
              <w:ind w:left="993" w:right="0" w:hanging="993"/>
              <w:jc w:val="both"/>
              <w:rPr>
                <w:rFonts w:ascii="Times New Roman" w:hAnsi="Times New Roman"/>
              </w:rPr>
            </w:pPr>
            <w:r>
              <w:rPr>
                <w:sz w:val="20"/>
                <w:szCs w:val="20"/>
              </w:rPr>
              <w:t>48 (quarenta e oito) horas</w:t>
            </w:r>
          </w:p>
        </w:tc>
      </w:tr>
      <w:tr>
        <w:trPr>
          <w:trHeight w:val="315" w:hRule="atLeast"/>
          <w:cantSplit w:val="true"/>
        </w:trPr>
        <w:tc>
          <w:tcPr>
            <w:tcW w:w="1848" w:type="dxa"/>
            <w:tcBorders>
              <w:top w:val="single" w:sz="4" w:space="0" w:color="000000"/>
              <w:left w:val="single" w:sz="4" w:space="0" w:color="000000"/>
              <w:bottom w:val="single" w:sz="4" w:space="0" w:color="000000"/>
            </w:tcBorders>
            <w:vAlign w:val="center"/>
          </w:tcPr>
          <w:p>
            <w:pPr>
              <w:pStyle w:val="Normal"/>
              <w:widowControl w:val="false"/>
              <w:tabs>
                <w:tab w:val="clear" w:pos="709"/>
              </w:tabs>
              <w:spacing w:lineRule="auto" w:line="276"/>
              <w:ind w:left="0" w:right="0" w:hanging="0"/>
              <w:jc w:val="both"/>
              <w:rPr>
                <w:rFonts w:ascii="Times New Roman" w:hAnsi="Times New Roman"/>
              </w:rPr>
            </w:pPr>
            <w:r>
              <w:rPr>
                <w:b/>
                <w:bCs/>
                <w:sz w:val="20"/>
                <w:szCs w:val="20"/>
              </w:rPr>
              <w:t>Multa compensatória</w:t>
            </w:r>
          </w:p>
        </w:tc>
        <w:tc>
          <w:tcPr>
            <w:tcW w:w="666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709"/>
              </w:tabs>
              <w:spacing w:lineRule="auto" w:line="276" w:before="120" w:after="120"/>
              <w:ind w:left="0" w:right="0" w:hanging="0"/>
              <w:jc w:val="both"/>
              <w:rPr>
                <w:rFonts w:ascii="Times New Roman" w:hAnsi="Times New Roman"/>
              </w:rPr>
            </w:pPr>
            <w:r>
              <w:rPr>
                <w:sz w:val="20"/>
                <w:szCs w:val="20"/>
              </w:rPr>
              <w:t>3 ocorrências até o limite de 5 solicitações ocorrência/mensal valor de R$ 500,00 (quinhentos reais); não atendida após o prazo de atendimento.</w:t>
            </w:r>
          </w:p>
          <w:p>
            <w:pPr>
              <w:pStyle w:val="Normal"/>
              <w:widowControl w:val="false"/>
              <w:tabs>
                <w:tab w:val="clear" w:pos="709"/>
              </w:tabs>
              <w:spacing w:lineRule="auto" w:line="276" w:before="120" w:after="120"/>
              <w:ind w:left="0" w:right="0" w:hanging="0"/>
              <w:jc w:val="both"/>
              <w:rPr>
                <w:rFonts w:ascii="Times New Roman" w:hAnsi="Times New Roman"/>
              </w:rPr>
            </w:pPr>
            <w:r>
              <w:rPr>
                <w:sz w:val="20"/>
                <w:szCs w:val="20"/>
              </w:rPr>
              <w:t>6 ocorrências até o limite de 8 solicitações ocorrência/mensal, cumulativo com o primeiro chamado valor de R$ 1.000,00 (mil reais); não atendida após o prazo de atendimento.</w:t>
            </w:r>
          </w:p>
          <w:p>
            <w:pPr>
              <w:pStyle w:val="Normal"/>
              <w:widowControl w:val="false"/>
              <w:tabs>
                <w:tab w:val="clear" w:pos="709"/>
              </w:tabs>
              <w:spacing w:lineRule="auto" w:line="276" w:before="120" w:after="120"/>
              <w:ind w:left="0" w:right="0" w:hanging="0"/>
              <w:jc w:val="both"/>
              <w:rPr>
                <w:rFonts w:ascii="Times New Roman" w:hAnsi="Times New Roman"/>
              </w:rPr>
            </w:pPr>
            <w:r>
              <w:rPr>
                <w:sz w:val="20"/>
                <w:szCs w:val="20"/>
              </w:rPr>
              <w:t>Acima de 9 ocorrências ocorrência/mensal, cumulativo com as ocorrências acima valor de R$ 1.500,00 (mil e quinhentos reais); não atendida após o prazo de atendimento.</w:t>
            </w:r>
          </w:p>
          <w:p>
            <w:pPr>
              <w:pStyle w:val="Normal"/>
              <w:widowControl w:val="false"/>
              <w:tabs>
                <w:tab w:val="clear" w:pos="709"/>
              </w:tabs>
              <w:spacing w:lineRule="auto" w:line="276" w:before="120" w:after="120"/>
              <w:ind w:left="0" w:right="0" w:hanging="0"/>
              <w:jc w:val="both"/>
              <w:rPr>
                <w:rFonts w:ascii="Times New Roman" w:hAnsi="Times New Roman" w:eastAsia="Arial"/>
                <w:kern w:val="2"/>
                <w:sz w:val="20"/>
                <w:szCs w:val="20"/>
                <w:lang w:eastAsia="zh-CN"/>
              </w:rPr>
            </w:pPr>
            <w:r>
              <w:rPr>
                <w:rFonts w:eastAsia="Arial"/>
                <w:kern w:val="2"/>
                <w:sz w:val="20"/>
                <w:szCs w:val="20"/>
                <w:lang w:eastAsia="zh-CN"/>
              </w:rPr>
            </w:r>
          </w:p>
        </w:tc>
      </w:tr>
    </w:tbl>
    <w:p>
      <w:pPr>
        <w:pStyle w:val="Western"/>
        <w:widowControl w:val="false"/>
        <w:spacing w:lineRule="auto" w:line="360" w:beforeAutospacing="0" w:before="0" w:after="0"/>
        <w:rPr>
          <w:rFonts w:ascii="Times New Roman" w:hAnsi="Times New Roman" w:cs="Calibri"/>
          <w:sz w:val="22"/>
          <w:szCs w:val="22"/>
        </w:rPr>
      </w:pPr>
      <w:r>
        <w:rPr>
          <w:rFonts w:cs="Calibri" w:ascii="Times New Roman" w:hAnsi="Times New Roman"/>
          <w:sz w:val="22"/>
          <w:szCs w:val="22"/>
        </w:rPr>
      </w:r>
    </w:p>
    <w:p>
      <w:pPr>
        <w:pStyle w:val="Western"/>
        <w:spacing w:lineRule="auto" w:line="240" w:beforeAutospacing="0" w:before="0" w:after="0"/>
        <w:rPr>
          <w:rFonts w:ascii="Times New Roman" w:hAnsi="Times New Roman"/>
        </w:rPr>
      </w:pPr>
      <w:r>
        <w:rPr>
          <w:rFonts w:cs="Calibri" w:ascii="Times New Roman" w:hAnsi="Times New Roman"/>
          <w:sz w:val="22"/>
          <w:szCs w:val="22"/>
        </w:rPr>
        <w:t>11.3 A aplicação de qualquer das penalidades previstas neste contrato, realizar-se-á em processo administrativo que assegurará o contraditório e a ampla defesa à CONTRATADA, observando-se o procedimento previsto nos arts. 156 a 163 da Lei nº 14.133/2021, e subsidiariamente na Lei nº 9.784/1999.</w:t>
      </w:r>
    </w:p>
    <w:p>
      <w:pPr>
        <w:pStyle w:val="Normal"/>
        <w:spacing w:lineRule="auto" w:line="240" w:before="0" w:after="0"/>
        <w:jc w:val="both"/>
        <w:rPr>
          <w:rFonts w:ascii="Times New Roman" w:hAnsi="Times New Roman"/>
        </w:rPr>
      </w:pPr>
      <w:r>
        <w:rPr>
          <w:rFonts w:cs="Calibri"/>
        </w:rPr>
        <w:t>11.4 A autoridade competente, na aplicação das sanções, levará em consideração a gravidade da conduta do infrator, o caráter educativo da pena, bem como o dano causado à Câa, observado o princípio da proporcionalidade.</w:t>
      </w:r>
    </w:p>
    <w:p>
      <w:pPr>
        <w:pStyle w:val="Normal"/>
        <w:spacing w:lineRule="auto" w:line="240" w:before="0" w:after="0"/>
        <w:jc w:val="both"/>
        <w:rPr>
          <w:rFonts w:ascii="Times New Roman" w:hAnsi="Times New Roman"/>
        </w:rPr>
      </w:pPr>
      <w:r>
        <w:rPr>
          <w:rFonts w:cs="Calibri"/>
        </w:rPr>
        <w:t>11.5. O contrato só poderá ser rescindido pelas partes, com comunicação prévia de 60 (sessenta) dias, ou em prazo inferior de comum acordo entre as partes, sem aplicação de sanção administrativa no caso de cumprimento do prazo.</w:t>
      </w:r>
    </w:p>
    <w:p>
      <w:pPr>
        <w:pStyle w:val="Normal"/>
        <w:spacing w:lineRule="auto" w:line="276" w:before="0" w:after="0"/>
        <w:rPr>
          <w:rFonts w:ascii="Times New Roman" w:hAnsi="Times New Roman" w:cs="Times New Roman"/>
          <w:szCs w:val="28"/>
        </w:rPr>
      </w:pPr>
      <w:r>
        <w:rPr>
          <w:rFonts w:cs="Times New Roman"/>
          <w:szCs w:val="28"/>
        </w:rPr>
      </w:r>
    </w:p>
    <w:p>
      <w:pPr>
        <w:pStyle w:val="Normal"/>
        <w:spacing w:lineRule="auto" w:line="276" w:before="0" w:after="0"/>
        <w:jc w:val="center"/>
        <w:rPr>
          <w:rFonts w:ascii="Times New Roman" w:hAnsi="Times New Roman"/>
        </w:rPr>
      </w:pPr>
      <w:r>
        <w:rPr>
          <w:rFonts w:cs="Times New Roman"/>
          <w:szCs w:val="28"/>
        </w:rPr>
        <w:t>Três Passos-RS, 21 de novembro de 2024.</w:t>
      </w:r>
    </w:p>
    <w:p>
      <w:pPr>
        <w:pStyle w:val="Normal"/>
        <w:spacing w:lineRule="auto" w:line="276" w:before="0" w:after="0"/>
        <w:jc w:val="center"/>
        <w:rPr>
          <w:rFonts w:ascii="Times New Roman" w:hAnsi="Times New Roman" w:cs="Times New Roman"/>
          <w:szCs w:val="28"/>
        </w:rPr>
      </w:pPr>
      <w:r>
        <w:rPr>
          <w:rFonts w:cs="Times New Roman"/>
          <w:szCs w:val="28"/>
        </w:rPr>
      </w:r>
    </w:p>
    <w:p>
      <w:pPr>
        <w:pStyle w:val="Normal"/>
        <w:spacing w:lineRule="auto" w:line="276" w:before="0" w:after="0"/>
        <w:jc w:val="center"/>
        <w:rPr>
          <w:rFonts w:ascii="Times New Roman" w:hAnsi="Times New Roman" w:cs="Times New Roman"/>
          <w:szCs w:val="28"/>
        </w:rPr>
      </w:pPr>
      <w:r>
        <w:rPr>
          <w:rFonts w:cs="Times New Roman"/>
          <w:szCs w:val="28"/>
        </w:rPr>
      </w:r>
    </w:p>
    <w:p>
      <w:pPr>
        <w:pStyle w:val="Normal"/>
        <w:spacing w:lineRule="auto" w:line="276" w:before="0" w:after="0"/>
        <w:rPr>
          <w:rFonts w:ascii="Times New Roman" w:hAnsi="Times New Roman"/>
        </w:rPr>
      </w:pPr>
      <w:r>
        <w:rPr>
          <w:rFonts w:cs="Times New Roman"/>
          <w:szCs w:val="28"/>
        </w:rPr>
        <w:t>De acordo:</w:t>
      </w:r>
    </w:p>
    <w:p>
      <w:pPr>
        <w:pStyle w:val="Normal"/>
        <w:spacing w:lineRule="auto" w:line="276" w:before="0" w:after="0"/>
        <w:rPr>
          <w:rFonts w:ascii="Times New Roman" w:hAnsi="Times New Roman" w:cs="Times New Roman"/>
          <w:szCs w:val="28"/>
        </w:rPr>
      </w:pPr>
      <w:r>
        <w:rPr>
          <w:rFonts w:cs="Times New Roman"/>
          <w:szCs w:val="28"/>
        </w:rPr>
      </w:r>
    </w:p>
    <w:p>
      <w:pPr>
        <w:pStyle w:val="Normal"/>
        <w:spacing w:lineRule="auto" w:line="276" w:before="0" w:after="0"/>
        <w:jc w:val="center"/>
        <w:rPr>
          <w:rFonts w:ascii="Times New Roman" w:hAnsi="Times New Roman"/>
        </w:rPr>
      </w:pPr>
      <w:r>
        <w:rPr>
          <w:rFonts w:cs="Times New Roman"/>
          <w:szCs w:val="28"/>
        </w:rPr>
        <w:t>Edivan Nelsi Baron</w:t>
        <w:br/>
        <w:t>Vice-Presidente no exercício da Presidência</w:t>
      </w:r>
    </w:p>
    <w:p>
      <w:pPr>
        <w:pStyle w:val="Normal"/>
        <w:spacing w:lineRule="auto" w:line="276" w:before="0" w:after="0"/>
        <w:rPr>
          <w:rFonts w:ascii="Times New Roman" w:hAnsi="Times New Roman" w:cs="Times New Roman"/>
          <w:szCs w:val="28"/>
        </w:rPr>
      </w:pPr>
      <w:r>
        <w:rPr>
          <w:rFonts w:cs="Times New Roman"/>
          <w:szCs w:val="28"/>
        </w:rPr>
      </w:r>
    </w:p>
    <w:p>
      <w:pPr>
        <w:pStyle w:val="Normal"/>
        <w:spacing w:lineRule="auto" w:line="276" w:before="0" w:after="0"/>
        <w:rPr>
          <w:rFonts w:ascii="Times New Roman" w:hAnsi="Times New Roman"/>
        </w:rPr>
      </w:pPr>
      <w:r>
        <w:rPr>
          <w:rFonts w:cs="Times New Roman"/>
        </w:rPr>
        <w:t>Aprovo, de acordo com o art. 46, § 6º, da Lei nº 14.133/2021.</w:t>
      </w:r>
    </w:p>
    <w:p>
      <w:pPr>
        <w:pStyle w:val="Normal"/>
        <w:spacing w:lineRule="auto" w:line="276" w:before="0" w:after="0"/>
        <w:jc w:val="center"/>
        <w:rPr>
          <w:rFonts w:ascii="Times New Roman" w:hAnsi="Times New Roman" w:cs="Times New Roman"/>
          <w:szCs w:val="28"/>
        </w:rPr>
      </w:pPr>
      <w:r>
        <w:rPr>
          <w:rFonts w:cs="Times New Roman"/>
          <w:szCs w:val="28"/>
        </w:rPr>
      </w:r>
    </w:p>
    <w:p>
      <w:pPr>
        <w:pStyle w:val="Normal"/>
        <w:spacing w:lineRule="auto" w:line="276" w:before="0" w:after="0"/>
        <w:jc w:val="center"/>
        <w:rPr>
          <w:rFonts w:ascii="Times New Roman" w:hAnsi="Times New Roman" w:cs="Times New Roman"/>
          <w:szCs w:val="28"/>
        </w:rPr>
      </w:pPr>
      <w:r>
        <w:rPr>
          <w:rFonts w:cs="Times New Roman"/>
          <w:szCs w:val="28"/>
        </w:rPr>
        <w:t>Edivan Nelsi Baron</w:t>
        <w:br/>
        <w:t>Vice-Presidente no exercício da Presidência</w:t>
      </w:r>
    </w:p>
    <w:p>
      <w:pPr>
        <w:pStyle w:val="Normal"/>
        <w:spacing w:lineRule="auto" w:line="276" w:before="0" w:after="0"/>
        <w:jc w:val="both"/>
        <w:rPr>
          <w:rFonts w:ascii="Times New Roman" w:hAnsi="Times New Roman"/>
        </w:rPr>
      </w:pPr>
      <w:r>
        <w:rPr/>
      </w:r>
    </w:p>
    <w:p>
      <w:pPr>
        <w:pStyle w:val="Default"/>
        <w:spacing w:lineRule="auto" w:line="240"/>
        <w:rPr>
          <w:rFonts w:ascii="Times New Roman" w:hAnsi="Times New Roman"/>
          <w:b/>
          <w:b/>
          <w:bCs/>
          <w:sz w:val="23"/>
          <w:szCs w:val="23"/>
        </w:rPr>
      </w:pPr>
      <w:r>
        <w:rPr>
          <w:rFonts w:ascii="Times New Roman" w:hAnsi="Times New Roman"/>
          <w:b/>
          <w:bCs/>
          <w:sz w:val="23"/>
          <w:szCs w:val="23"/>
        </w:rPr>
      </w:r>
    </w:p>
    <w:p>
      <w:pPr>
        <w:pStyle w:val="Default"/>
        <w:spacing w:lineRule="auto" w:line="240"/>
        <w:rPr>
          <w:rFonts w:ascii="Times New Roman" w:hAnsi="Times New Roman"/>
          <w:b/>
          <w:b/>
          <w:bCs/>
          <w:sz w:val="23"/>
          <w:szCs w:val="23"/>
        </w:rPr>
      </w:pPr>
      <w:r>
        <w:rPr>
          <w:rFonts w:ascii="Times New Roman" w:hAnsi="Times New Roman"/>
          <w:b/>
          <w:bCs/>
          <w:sz w:val="23"/>
          <w:szCs w:val="23"/>
        </w:rPr>
      </w:r>
    </w:p>
    <w:p>
      <w:pPr>
        <w:pStyle w:val="Default"/>
        <w:spacing w:lineRule="auto" w:line="240"/>
        <w:rPr>
          <w:rFonts w:ascii="Times New Roman" w:hAnsi="Times New Roman"/>
          <w:b/>
          <w:b/>
          <w:bCs/>
          <w:sz w:val="23"/>
          <w:szCs w:val="23"/>
        </w:rPr>
      </w:pPr>
      <w:r>
        <w:rPr>
          <w:rFonts w:ascii="Times New Roman" w:hAnsi="Times New Roman"/>
          <w:b/>
          <w:bCs/>
          <w:sz w:val="23"/>
          <w:szCs w:val="23"/>
        </w:rPr>
      </w:r>
    </w:p>
    <w:p>
      <w:pPr>
        <w:pStyle w:val="Default"/>
        <w:spacing w:lineRule="auto" w:line="240"/>
        <w:rPr>
          <w:rFonts w:ascii="Times New Roman" w:hAnsi="Times New Roman"/>
          <w:b/>
          <w:b/>
          <w:bCs/>
          <w:sz w:val="23"/>
          <w:szCs w:val="23"/>
        </w:rPr>
      </w:pPr>
      <w:r>
        <w:rPr>
          <w:rFonts w:ascii="Times New Roman" w:hAnsi="Times New Roman"/>
          <w:b/>
          <w:bCs/>
          <w:sz w:val="23"/>
          <w:szCs w:val="23"/>
        </w:rPr>
      </w:r>
    </w:p>
    <w:p>
      <w:pPr>
        <w:pStyle w:val="Default"/>
        <w:spacing w:lineRule="auto" w:line="240"/>
        <w:rPr>
          <w:rFonts w:ascii="Times New Roman" w:hAnsi="Times New Roman"/>
          <w:b/>
          <w:b/>
          <w:bCs/>
          <w:sz w:val="23"/>
          <w:szCs w:val="23"/>
        </w:rPr>
      </w:pPr>
      <w:r>
        <w:rPr>
          <w:rFonts w:ascii="Times New Roman" w:hAnsi="Times New Roman"/>
          <w:b/>
          <w:bCs/>
          <w:sz w:val="23"/>
          <w:szCs w:val="23"/>
        </w:rPr>
      </w:r>
    </w:p>
    <w:p>
      <w:pPr>
        <w:pStyle w:val="Default"/>
        <w:spacing w:lineRule="auto" w:line="240"/>
        <w:rPr>
          <w:rFonts w:ascii="Times New Roman" w:hAnsi="Times New Roman"/>
          <w:b/>
          <w:b/>
          <w:bCs/>
          <w:sz w:val="23"/>
          <w:szCs w:val="23"/>
        </w:rPr>
      </w:pPr>
      <w:r>
        <w:rPr>
          <w:rFonts w:ascii="Times New Roman" w:hAnsi="Times New Roman"/>
          <w:b/>
          <w:bCs/>
          <w:sz w:val="23"/>
          <w:szCs w:val="23"/>
        </w:rPr>
      </w:r>
    </w:p>
    <w:p>
      <w:pPr>
        <w:pStyle w:val="Default"/>
        <w:spacing w:lineRule="auto" w:line="240"/>
        <w:rPr>
          <w:rFonts w:ascii="Times New Roman" w:hAnsi="Times New Roman"/>
          <w:b/>
          <w:b/>
          <w:bCs/>
          <w:sz w:val="23"/>
          <w:szCs w:val="23"/>
        </w:rPr>
      </w:pPr>
      <w:r>
        <w:rPr>
          <w:rFonts w:ascii="Times New Roman" w:hAnsi="Times New Roman"/>
          <w:b/>
          <w:bCs/>
          <w:sz w:val="23"/>
          <w:szCs w:val="23"/>
        </w:rPr>
      </w:r>
    </w:p>
    <w:p>
      <w:pPr>
        <w:pStyle w:val="Default"/>
        <w:spacing w:lineRule="auto" w:line="240"/>
        <w:rPr>
          <w:rFonts w:ascii="Times New Roman" w:hAnsi="Times New Roman"/>
          <w:b/>
          <w:b/>
          <w:bCs/>
          <w:sz w:val="23"/>
          <w:szCs w:val="23"/>
        </w:rPr>
      </w:pPr>
      <w:r>
        <w:rPr>
          <w:rFonts w:ascii="Times New Roman" w:hAnsi="Times New Roman"/>
          <w:b/>
          <w:bCs/>
          <w:sz w:val="23"/>
          <w:szCs w:val="23"/>
        </w:rPr>
      </w:r>
    </w:p>
    <w:p>
      <w:pPr>
        <w:pStyle w:val="Default"/>
        <w:spacing w:lineRule="auto" w:line="240"/>
        <w:rPr>
          <w:rFonts w:ascii="Times New Roman" w:hAnsi="Times New Roman"/>
          <w:b/>
          <w:b/>
          <w:bCs/>
          <w:sz w:val="23"/>
          <w:szCs w:val="23"/>
        </w:rPr>
      </w:pPr>
      <w:r>
        <w:rPr>
          <w:rFonts w:ascii="Times New Roman" w:hAnsi="Times New Roman"/>
          <w:b/>
          <w:bCs/>
          <w:sz w:val="23"/>
          <w:szCs w:val="23"/>
        </w:rPr>
      </w:r>
    </w:p>
    <w:p>
      <w:pPr>
        <w:pStyle w:val="Default"/>
        <w:spacing w:lineRule="auto" w:line="240"/>
        <w:rPr>
          <w:rFonts w:ascii="Times New Roman" w:hAnsi="Times New Roman"/>
        </w:rPr>
      </w:pPr>
      <w:r>
        <w:rPr>
          <w:rFonts w:ascii="Times New Roman" w:hAnsi="Times New Roman"/>
        </w:rPr>
      </w:r>
    </w:p>
    <w:p>
      <w:pPr>
        <w:pStyle w:val="Default"/>
        <w:spacing w:lineRule="auto" w:line="240"/>
        <w:rPr>
          <w:rFonts w:ascii="Times New Roman" w:hAnsi="Times New Roman"/>
        </w:rPr>
      </w:pPr>
      <w:r>
        <w:rPr>
          <w:rFonts w:ascii="Times New Roman" w:hAnsi="Times New Roman"/>
        </w:rPr>
      </w:r>
    </w:p>
    <w:p>
      <w:pPr>
        <w:pStyle w:val="Default"/>
        <w:spacing w:lineRule="auto" w:line="240"/>
        <w:rPr>
          <w:rFonts w:ascii="Times New Roman" w:hAnsi="Times New Roman"/>
        </w:rPr>
      </w:pPr>
      <w:r>
        <w:rPr>
          <w:rFonts w:ascii="Times New Roman" w:hAnsi="Times New Roman"/>
        </w:rPr>
      </w:r>
    </w:p>
    <w:p>
      <w:pPr>
        <w:pStyle w:val="Default"/>
        <w:spacing w:lineRule="auto" w:line="240"/>
        <w:rPr>
          <w:rFonts w:ascii="Times New Roman" w:hAnsi="Times New Roman"/>
        </w:rPr>
      </w:pPr>
      <w:r>
        <w:rPr>
          <w:rFonts w:ascii="Times New Roman" w:hAnsi="Times New Roman"/>
          <w:b/>
          <w:bCs/>
          <w:sz w:val="23"/>
          <w:szCs w:val="23"/>
        </w:rPr>
        <w:t>Processo de Dispensa de Licitação nº</w:t>
      </w:r>
      <w:r>
        <w:rPr>
          <w:rFonts w:ascii="Times New Roman" w:hAnsi="Times New Roman"/>
          <w:b/>
          <w:bCs/>
          <w:sz w:val="23"/>
          <w:szCs w:val="23"/>
        </w:rPr>
        <w:t>19</w:t>
      </w:r>
      <w:r>
        <w:rPr>
          <w:rFonts w:ascii="Times New Roman" w:hAnsi="Times New Roman"/>
          <w:b/>
          <w:bCs/>
          <w:sz w:val="23"/>
          <w:szCs w:val="23"/>
        </w:rPr>
        <w:t>/2024</w:t>
      </w:r>
    </w:p>
    <w:p>
      <w:pPr>
        <w:pStyle w:val="Default"/>
        <w:spacing w:lineRule="auto" w:line="240"/>
        <w:rPr>
          <w:rFonts w:ascii="Times New Roman" w:hAnsi="Times New Roman"/>
          <w:sz w:val="23"/>
          <w:szCs w:val="23"/>
        </w:rPr>
      </w:pPr>
      <w:r>
        <w:rPr>
          <w:rFonts w:ascii="Times New Roman" w:hAnsi="Times New Roman"/>
          <w:sz w:val="23"/>
          <w:szCs w:val="23"/>
        </w:rPr>
      </w:r>
    </w:p>
    <w:p>
      <w:pPr>
        <w:pStyle w:val="Default"/>
        <w:spacing w:lineRule="auto" w:line="240"/>
        <w:jc w:val="center"/>
        <w:rPr>
          <w:rFonts w:ascii="Times New Roman" w:hAnsi="Times New Roman"/>
        </w:rPr>
      </w:pPr>
      <w:r>
        <w:rPr>
          <w:rFonts w:cs="Calibri" w:ascii="Times New Roman" w:hAnsi="Times New Roman"/>
          <w:b/>
          <w:bCs/>
          <w:sz w:val="22"/>
          <w:szCs w:val="22"/>
        </w:rPr>
        <w:t xml:space="preserve">TERMO DE DISPENSA N° </w:t>
      </w:r>
      <w:r>
        <w:rPr>
          <w:rFonts w:cs="Calibri" w:ascii="Times New Roman" w:hAnsi="Times New Roman"/>
          <w:b/>
          <w:bCs/>
          <w:sz w:val="22"/>
          <w:szCs w:val="22"/>
        </w:rPr>
        <w:t>19</w:t>
      </w:r>
      <w:r>
        <w:rPr>
          <w:rFonts w:cs="Calibri" w:ascii="Times New Roman" w:hAnsi="Times New Roman"/>
          <w:b/>
          <w:bCs/>
          <w:sz w:val="22"/>
          <w:szCs w:val="22"/>
        </w:rPr>
        <w:t>/2024</w:t>
      </w:r>
    </w:p>
    <w:p>
      <w:pPr>
        <w:pStyle w:val="Default"/>
        <w:spacing w:lineRule="auto" w:line="240"/>
        <w:jc w:val="center"/>
        <w:rPr>
          <w:rFonts w:ascii="Times New Roman" w:hAnsi="Times New Roman"/>
        </w:rPr>
      </w:pPr>
      <w:r>
        <w:rPr>
          <w:rFonts w:cs="Calibri" w:ascii="Times New Roman" w:hAnsi="Times New Roman"/>
          <w:b/>
          <w:bCs/>
          <w:sz w:val="22"/>
          <w:szCs w:val="22"/>
        </w:rPr>
        <w:t>JUSTIFICATIVA DE DISPENSA DE LICITAÇÃO</w:t>
      </w:r>
    </w:p>
    <w:p>
      <w:pPr>
        <w:pStyle w:val="Default"/>
        <w:spacing w:lineRule="auto" w:line="240"/>
        <w:jc w:val="center"/>
        <w:rPr>
          <w:rFonts w:ascii="Times New Roman" w:hAnsi="Times New Roman" w:cs="Calibri"/>
          <w:b/>
          <w:b/>
          <w:bCs/>
          <w:sz w:val="22"/>
          <w:szCs w:val="22"/>
        </w:rPr>
      </w:pPr>
      <w:r>
        <w:rPr>
          <w:rFonts w:cs="Calibri" w:ascii="Times New Roman" w:hAnsi="Times New Roman"/>
          <w:b/>
          <w:bCs/>
          <w:sz w:val="22"/>
          <w:szCs w:val="22"/>
        </w:rPr>
      </w:r>
    </w:p>
    <w:p>
      <w:pPr>
        <w:pStyle w:val="Default"/>
        <w:spacing w:lineRule="auto" w:line="240"/>
        <w:jc w:val="center"/>
        <w:rPr>
          <w:rFonts w:ascii="Times New Roman" w:hAnsi="Times New Roman" w:cs="Calibri"/>
          <w:sz w:val="22"/>
          <w:szCs w:val="22"/>
        </w:rPr>
      </w:pPr>
      <w:r>
        <w:rPr>
          <w:rFonts w:cs="Calibri" w:ascii="Times New Roman" w:hAnsi="Times New Roman"/>
          <w:sz w:val="22"/>
          <w:szCs w:val="22"/>
        </w:rPr>
      </w:r>
    </w:p>
    <w:p>
      <w:pPr>
        <w:pStyle w:val="Default"/>
        <w:spacing w:lineRule="auto" w:line="240"/>
        <w:rPr>
          <w:rFonts w:ascii="Times New Roman" w:hAnsi="Times New Roman"/>
        </w:rPr>
      </w:pPr>
      <w:r>
        <w:rPr>
          <w:rFonts w:cs="Calibri" w:ascii="Times New Roman" w:hAnsi="Times New Roman"/>
          <w:b/>
          <w:bCs/>
          <w:sz w:val="22"/>
          <w:szCs w:val="22"/>
        </w:rPr>
        <w:t xml:space="preserve">I – REFERÊNCIA </w:t>
      </w:r>
    </w:p>
    <w:p>
      <w:pPr>
        <w:pStyle w:val="Default"/>
        <w:spacing w:lineRule="auto" w:line="240"/>
        <w:rPr>
          <w:rFonts w:ascii="Times New Roman" w:hAnsi="Times New Roman" w:cs="Calibri"/>
          <w:sz w:val="22"/>
          <w:szCs w:val="22"/>
        </w:rPr>
      </w:pPr>
      <w:r>
        <w:rPr>
          <w:rFonts w:cs="Calibri" w:ascii="Times New Roman" w:hAnsi="Times New Roman"/>
          <w:sz w:val="22"/>
          <w:szCs w:val="22"/>
        </w:rPr>
      </w:r>
    </w:p>
    <w:p>
      <w:pPr>
        <w:pStyle w:val="Default"/>
        <w:spacing w:lineRule="auto" w:line="240"/>
        <w:rPr>
          <w:rFonts w:ascii="Times New Roman" w:hAnsi="Times New Roman"/>
        </w:rPr>
      </w:pPr>
      <w:r>
        <w:rPr>
          <w:rFonts w:cs="Calibri" w:ascii="Times New Roman" w:hAnsi="Times New Roman"/>
          <w:b/>
          <w:bCs/>
          <w:sz w:val="22"/>
          <w:szCs w:val="22"/>
        </w:rPr>
        <w:t xml:space="preserve">1 – CONTRATANTE </w:t>
      </w:r>
    </w:p>
    <w:p>
      <w:pPr>
        <w:pStyle w:val="Default"/>
        <w:spacing w:lineRule="auto" w:line="240"/>
        <w:rPr>
          <w:rFonts w:ascii="Times New Roman" w:hAnsi="Times New Roman" w:cs="Calibri"/>
          <w:sz w:val="22"/>
          <w:szCs w:val="22"/>
        </w:rPr>
      </w:pPr>
      <w:r>
        <w:rPr>
          <w:rFonts w:cs="Calibri" w:ascii="Times New Roman" w:hAnsi="Times New Roman"/>
          <w:sz w:val="22"/>
          <w:szCs w:val="22"/>
        </w:rPr>
      </w:r>
    </w:p>
    <w:p>
      <w:pPr>
        <w:pStyle w:val="Default"/>
        <w:spacing w:lineRule="auto" w:line="240"/>
        <w:jc w:val="both"/>
        <w:rPr>
          <w:rFonts w:ascii="Times New Roman" w:hAnsi="Times New Roman"/>
        </w:rPr>
      </w:pPr>
      <w:r>
        <w:rPr>
          <w:rFonts w:cs="Calibri" w:ascii="Times New Roman" w:hAnsi="Times New Roman"/>
          <w:sz w:val="22"/>
          <w:szCs w:val="22"/>
        </w:rPr>
        <w:t>A</w:t>
      </w:r>
      <w:r>
        <w:rPr>
          <w:rFonts w:cs="Calibri" w:ascii="Times New Roman" w:hAnsi="Times New Roman"/>
          <w:b/>
          <w:bCs/>
          <w:sz w:val="22"/>
          <w:szCs w:val="22"/>
        </w:rPr>
        <w:t xml:space="preserve"> CÂMARA MUNICIPAL DE TRÊS PASSOS</w:t>
      </w:r>
      <w:r>
        <w:rPr>
          <w:rFonts w:cs="Calibri" w:ascii="Times New Roman" w:hAnsi="Times New Roman"/>
          <w:sz w:val="22"/>
          <w:szCs w:val="22"/>
        </w:rPr>
        <w:t xml:space="preserve">, CNPJ nº </w:t>
      </w:r>
      <w:r>
        <w:rPr>
          <w:rFonts w:cs="Calibri" w:ascii="Times New Roman" w:hAnsi="Times New Roman"/>
          <w:b/>
          <w:bCs/>
          <w:sz w:val="22"/>
          <w:szCs w:val="22"/>
        </w:rPr>
        <w:t>07.257.873/0001-23</w:t>
      </w:r>
      <w:r>
        <w:rPr>
          <w:rFonts w:cs="Calibri" w:ascii="Times New Roman" w:hAnsi="Times New Roman"/>
          <w:sz w:val="22"/>
          <w:szCs w:val="22"/>
        </w:rPr>
        <w:t xml:space="preserve">, com sede na Rua Salgado filho, n. 79 centro de Três Passos-RS, CEP: 98600-000. </w:t>
      </w:r>
    </w:p>
    <w:p>
      <w:pPr>
        <w:pStyle w:val="Default"/>
        <w:spacing w:lineRule="auto" w:line="240"/>
        <w:jc w:val="both"/>
        <w:rPr>
          <w:rFonts w:ascii="Times New Roman" w:hAnsi="Times New Roman" w:cs="Calibri"/>
          <w:sz w:val="22"/>
          <w:szCs w:val="22"/>
        </w:rPr>
      </w:pPr>
      <w:r>
        <w:rPr>
          <w:rFonts w:cs="Calibri" w:ascii="Times New Roman" w:hAnsi="Times New Roman"/>
          <w:sz w:val="22"/>
          <w:szCs w:val="22"/>
        </w:rPr>
      </w:r>
    </w:p>
    <w:p>
      <w:pPr>
        <w:pStyle w:val="Default"/>
        <w:spacing w:lineRule="auto" w:line="240"/>
        <w:rPr>
          <w:rFonts w:ascii="Times New Roman" w:hAnsi="Times New Roman"/>
        </w:rPr>
      </w:pPr>
      <w:r>
        <w:rPr>
          <w:rFonts w:cs="Calibri" w:ascii="Times New Roman" w:hAnsi="Times New Roman"/>
          <w:b/>
          <w:bCs/>
          <w:sz w:val="22"/>
          <w:szCs w:val="22"/>
        </w:rPr>
        <w:t xml:space="preserve">2 – CONTRATADA </w:t>
      </w:r>
    </w:p>
    <w:p>
      <w:pPr>
        <w:pStyle w:val="Default"/>
        <w:spacing w:lineRule="auto" w:line="240"/>
        <w:rPr>
          <w:rFonts w:ascii="Times New Roman" w:hAnsi="Times New Roman" w:cs="Calibri"/>
          <w:sz w:val="22"/>
          <w:szCs w:val="22"/>
        </w:rPr>
      </w:pPr>
      <w:r>
        <w:rPr>
          <w:rFonts w:cs="Calibri" w:ascii="Times New Roman" w:hAnsi="Times New Roman"/>
          <w:sz w:val="22"/>
          <w:szCs w:val="22"/>
        </w:rPr>
      </w:r>
    </w:p>
    <w:p>
      <w:pPr>
        <w:pStyle w:val="Default"/>
        <w:spacing w:lineRule="auto" w:line="240"/>
        <w:jc w:val="both"/>
        <w:rPr>
          <w:rFonts w:ascii="Times New Roman" w:hAnsi="Times New Roman"/>
        </w:rPr>
      </w:pPr>
      <w:r>
        <w:rPr>
          <w:rFonts w:cs="Calibri" w:ascii="Times New Roman" w:hAnsi="Times New Roman"/>
          <w:b/>
          <w:sz w:val="22"/>
          <w:szCs w:val="22"/>
        </w:rPr>
        <w:t>ECUSTOMIZE CONSULTORIA EM SOFTWARE S/A</w:t>
      </w:r>
      <w:r>
        <w:rPr>
          <w:rFonts w:cs="Calibri" w:ascii="Times New Roman" w:hAnsi="Times New Roman"/>
          <w:sz w:val="22"/>
          <w:szCs w:val="22"/>
        </w:rPr>
        <w:t xml:space="preserve">, pessoa jurídica de direito privado, inscrita no CNPJ nº 09.397.355/0001-30, com endereço à Tr Sia Trecho 17 Rua 20 Lote 90 Sala, 201 - 2 Pavimento Zona Industrial, CEP: 71.200-256 - Brasília/DF. </w:t>
      </w:r>
    </w:p>
    <w:p>
      <w:pPr>
        <w:pStyle w:val="Default"/>
        <w:spacing w:lineRule="auto" w:line="240"/>
        <w:rPr>
          <w:rFonts w:ascii="Times New Roman" w:hAnsi="Times New Roman" w:cs="Calibri"/>
          <w:sz w:val="22"/>
          <w:szCs w:val="22"/>
        </w:rPr>
      </w:pPr>
      <w:r>
        <w:rPr>
          <w:rFonts w:cs="Calibri" w:ascii="Times New Roman" w:hAnsi="Times New Roman"/>
          <w:sz w:val="22"/>
          <w:szCs w:val="22"/>
        </w:rPr>
      </w:r>
    </w:p>
    <w:p>
      <w:pPr>
        <w:pStyle w:val="Default"/>
        <w:spacing w:lineRule="auto" w:line="240"/>
        <w:rPr>
          <w:rFonts w:ascii="Times New Roman" w:hAnsi="Times New Roman"/>
        </w:rPr>
      </w:pPr>
      <w:r>
        <w:rPr>
          <w:rFonts w:cs="Calibri" w:ascii="Times New Roman" w:hAnsi="Times New Roman"/>
          <w:b/>
          <w:bCs/>
          <w:sz w:val="22"/>
          <w:szCs w:val="22"/>
        </w:rPr>
        <w:t xml:space="preserve">3 – OBJETO </w:t>
      </w:r>
    </w:p>
    <w:p>
      <w:pPr>
        <w:pStyle w:val="Default"/>
        <w:spacing w:lineRule="auto" w:line="240"/>
        <w:rPr>
          <w:rFonts w:ascii="Times New Roman" w:hAnsi="Times New Roman" w:cs="Calibri"/>
          <w:sz w:val="22"/>
          <w:szCs w:val="22"/>
        </w:rPr>
      </w:pPr>
      <w:r>
        <w:rPr>
          <w:rFonts w:cs="Calibri" w:ascii="Times New Roman" w:hAnsi="Times New Roman"/>
          <w:sz w:val="22"/>
          <w:szCs w:val="22"/>
        </w:rPr>
      </w:r>
    </w:p>
    <w:p>
      <w:pPr>
        <w:pStyle w:val="ListParagraph"/>
        <w:spacing w:lineRule="auto" w:line="276"/>
        <w:ind w:left="0" w:right="0" w:hanging="0"/>
        <w:jc w:val="both"/>
        <w:rPr>
          <w:rFonts w:ascii="Times New Roman" w:hAnsi="Times New Roman"/>
        </w:rPr>
      </w:pPr>
      <w:r>
        <w:rPr>
          <w:rFonts w:cs="Calibri" w:ascii="Times New Roman" w:hAnsi="Times New Roman"/>
        </w:rPr>
        <w:t xml:space="preserve">Contratação do sistema denominado Portal de Compras Públicas, para a realização de licitação em meio digital, por intermédio da rede mundial de computadores. </w:t>
      </w:r>
    </w:p>
    <w:p>
      <w:pPr>
        <w:pStyle w:val="Normal"/>
        <w:spacing w:lineRule="auto" w:line="276"/>
        <w:rPr>
          <w:rFonts w:ascii="Times New Roman" w:hAnsi="Times New Roman"/>
        </w:rPr>
      </w:pPr>
      <w:r>
        <w:rPr>
          <w:rFonts w:cs="Calibri"/>
          <w:b/>
          <w:bCs/>
        </w:rPr>
        <w:t>4 – PRAZO E FORMA DE EXECUÇÃO:</w:t>
      </w:r>
    </w:p>
    <w:p>
      <w:pPr>
        <w:pStyle w:val="ListParagraph"/>
        <w:numPr>
          <w:ilvl w:val="0"/>
          <w:numId w:val="12"/>
        </w:numPr>
        <w:spacing w:lineRule="auto" w:line="240" w:before="0" w:after="0"/>
        <w:contextualSpacing/>
        <w:jc w:val="both"/>
        <w:rPr>
          <w:rFonts w:ascii="Times New Roman" w:hAnsi="Times New Roman"/>
        </w:rPr>
      </w:pPr>
      <w:r>
        <w:rPr>
          <w:rFonts w:cs="Calibri" w:ascii="Times New Roman" w:hAnsi="Times New Roman"/>
        </w:rPr>
        <w:t>o prazo de início da operacionalização do sistema será aquele previsto no contrato e na proposta da contratada;</w:t>
      </w:r>
    </w:p>
    <w:p>
      <w:pPr>
        <w:pStyle w:val="ListParagraph"/>
        <w:numPr>
          <w:ilvl w:val="0"/>
          <w:numId w:val="12"/>
        </w:numPr>
        <w:spacing w:lineRule="auto" w:line="240" w:before="0" w:after="0"/>
        <w:contextualSpacing/>
        <w:jc w:val="both"/>
        <w:rPr>
          <w:rFonts w:ascii="Times New Roman" w:hAnsi="Times New Roman"/>
        </w:rPr>
      </w:pPr>
      <w:r>
        <w:rPr>
          <w:rFonts w:cs="Calibri" w:ascii="Times New Roman" w:hAnsi="Times New Roman"/>
        </w:rPr>
        <w:t>a descrição dos serviços, as características dos módulos, bem como a disponibilidade do sistema, são os discriminados nos documentos integrantes deste termo;</w:t>
      </w:r>
    </w:p>
    <w:p>
      <w:pPr>
        <w:pStyle w:val="ListParagraph"/>
        <w:numPr>
          <w:ilvl w:val="0"/>
          <w:numId w:val="12"/>
        </w:numPr>
        <w:spacing w:lineRule="auto" w:line="240" w:before="0" w:after="0"/>
        <w:contextualSpacing/>
        <w:jc w:val="both"/>
        <w:rPr>
          <w:rFonts w:ascii="Times New Roman" w:hAnsi="Times New Roman"/>
        </w:rPr>
      </w:pPr>
      <w:r>
        <w:rPr>
          <w:rFonts w:cs="Calibri" w:ascii="Times New Roman" w:hAnsi="Times New Roman"/>
        </w:rPr>
        <w:t>o horário de disponibilidade do Portal de Compras Públicas será das 08:00 às 18:00 nos dias úteis. Eventualmente, com solicitação prévia da Câmara Municipal de Vereadores, poderá o horário ser estendido, desde que registrado e de comum acordo;</w:t>
      </w:r>
    </w:p>
    <w:p>
      <w:pPr>
        <w:pStyle w:val="ListParagraph"/>
        <w:numPr>
          <w:ilvl w:val="0"/>
          <w:numId w:val="12"/>
        </w:numPr>
        <w:spacing w:lineRule="auto" w:line="240" w:before="0" w:after="0"/>
        <w:contextualSpacing/>
        <w:jc w:val="both"/>
        <w:rPr>
          <w:rFonts w:ascii="Times New Roman" w:hAnsi="Times New Roman"/>
        </w:rPr>
      </w:pPr>
      <w:r>
        <w:rPr>
          <w:rFonts w:cs="Calibri" w:ascii="Times New Roman" w:hAnsi="Times New Roman"/>
        </w:rPr>
        <w:t>a manutenção nos equipamentos e no sistema poderá ser realizada, após formalização da CONTRATANTE, no horário das 19:00 às 07:00;</w:t>
      </w:r>
    </w:p>
    <w:p>
      <w:pPr>
        <w:pStyle w:val="ListParagraph"/>
        <w:numPr>
          <w:ilvl w:val="0"/>
          <w:numId w:val="12"/>
        </w:numPr>
        <w:spacing w:lineRule="auto" w:line="240" w:before="0" w:after="0"/>
        <w:contextualSpacing/>
        <w:jc w:val="both"/>
        <w:rPr>
          <w:rFonts w:ascii="Times New Roman" w:hAnsi="Times New Roman"/>
        </w:rPr>
      </w:pPr>
      <w:r>
        <w:rPr>
          <w:rFonts w:cs="Calibri" w:ascii="Times New Roman" w:hAnsi="Times New Roman"/>
        </w:rPr>
        <w:t>A CONTRATADA deverá notificar a CONTRATANTE, com no mínimo 5 (cinco) dias úteis de antecedência, eventos de parada programada que impactem na disponibilidade do serviço contratado. O CONTRATANTE deverá autorizar formalmente a parada, com no mínimo 3 (três) dias úteis de antecedência ao evento;</w:t>
      </w:r>
    </w:p>
    <w:p>
      <w:pPr>
        <w:pStyle w:val="ListParagraph"/>
        <w:numPr>
          <w:ilvl w:val="0"/>
          <w:numId w:val="12"/>
        </w:numPr>
        <w:spacing w:lineRule="auto" w:line="240" w:before="0" w:after="0"/>
        <w:contextualSpacing/>
        <w:jc w:val="both"/>
        <w:rPr>
          <w:rFonts w:ascii="Times New Roman" w:hAnsi="Times New Roman"/>
        </w:rPr>
      </w:pPr>
      <w:r>
        <w:rPr>
          <w:rFonts w:cs="Calibri" w:ascii="Times New Roman" w:hAnsi="Times New Roman"/>
        </w:rPr>
        <w:t>os serviços serão executados via internet e no endereço da CONTRATADA, onde se encontrará o ambiente operacional do sistema.</w:t>
      </w:r>
    </w:p>
    <w:p>
      <w:pPr>
        <w:pStyle w:val="ListParagraph"/>
        <w:numPr>
          <w:ilvl w:val="0"/>
          <w:numId w:val="12"/>
        </w:numPr>
        <w:spacing w:lineRule="auto" w:line="240" w:before="0" w:after="0"/>
        <w:contextualSpacing/>
        <w:jc w:val="both"/>
        <w:rPr>
          <w:rFonts w:ascii="Times New Roman" w:hAnsi="Times New Roman"/>
        </w:rPr>
      </w:pPr>
      <w:r>
        <w:rPr>
          <w:rFonts w:cs="Calibri" w:ascii="Times New Roman" w:hAnsi="Times New Roman"/>
        </w:rPr>
        <w:t>as especificidades do sistema deverão ser apresentadas por meio de treinamento, de acordo com a proposta e com posterior relatório a ser elaborado pelo fiscal do contrato e anexado neste processo.</w:t>
      </w:r>
    </w:p>
    <w:p>
      <w:pPr>
        <w:pStyle w:val="Normal"/>
        <w:spacing w:lineRule="auto" w:line="240" w:before="0" w:after="0"/>
        <w:jc w:val="both"/>
        <w:rPr>
          <w:rFonts w:ascii="Times New Roman" w:hAnsi="Times New Roman" w:cs="Calibri"/>
        </w:rPr>
      </w:pPr>
      <w:r>
        <w:rPr>
          <w:rFonts w:cs="Calibri"/>
        </w:rPr>
      </w:r>
    </w:p>
    <w:p>
      <w:pPr>
        <w:pStyle w:val="Default"/>
        <w:spacing w:lineRule="auto" w:line="240"/>
        <w:rPr>
          <w:rFonts w:ascii="Times New Roman" w:hAnsi="Times New Roman"/>
        </w:rPr>
      </w:pPr>
      <w:r>
        <w:rPr>
          <w:rFonts w:cs="Calibri" w:ascii="Times New Roman" w:hAnsi="Times New Roman"/>
          <w:b/>
          <w:bCs/>
          <w:sz w:val="22"/>
          <w:szCs w:val="22"/>
        </w:rPr>
        <w:t>5 – DO PREÇO</w:t>
      </w:r>
    </w:p>
    <w:p>
      <w:pPr>
        <w:pStyle w:val="Default"/>
        <w:spacing w:lineRule="auto" w:line="240"/>
        <w:rPr>
          <w:rFonts w:ascii="Times New Roman" w:hAnsi="Times New Roman"/>
        </w:rPr>
      </w:pPr>
      <w:r>
        <w:rPr>
          <w:rFonts w:cs="Calibri" w:ascii="Times New Roman" w:hAnsi="Times New Roman"/>
          <w:b/>
          <w:bCs/>
          <w:sz w:val="22"/>
          <w:szCs w:val="22"/>
        </w:rPr>
        <w:t xml:space="preserve"> </w:t>
      </w:r>
    </w:p>
    <w:p>
      <w:pPr>
        <w:pStyle w:val="Default"/>
        <w:spacing w:lineRule="auto" w:line="240"/>
        <w:ind w:left="0" w:right="0" w:hanging="0"/>
        <w:jc w:val="both"/>
        <w:rPr>
          <w:rFonts w:ascii="Times New Roman" w:hAnsi="Times New Roman"/>
        </w:rPr>
      </w:pPr>
      <w:r>
        <w:rPr>
          <w:rFonts w:cs="Calibri" w:ascii="Times New Roman" w:hAnsi="Times New Roman"/>
          <w:color w:val="auto"/>
          <w:sz w:val="22"/>
          <w:szCs w:val="22"/>
        </w:rPr>
        <w:t xml:space="preserve">O serviço será executado de forma gratuita para a Câmara Municipal de Vereadores de Três Passos, não afastada a possibilidade da CONTRATADA cobrar os custos pela utilização do sistema dos fornecedores, </w:t>
      </w:r>
      <w:r>
        <w:rPr>
          <w:rFonts w:cs="Calibri" w:ascii="Times New Roman" w:hAnsi="Times New Roman"/>
          <w:sz w:val="22"/>
          <w:szCs w:val="22"/>
        </w:rPr>
        <w:t>nos termos do art. 170 da Constituição Federal – livre iniciativa –; do art. 174, § 1º da Lei nº 14.133/2021; da Lei nº 14.129/2021 – que trata sobre o Governo Digital e o aumento da eficiência pública –; e ainda considerando a aplicação analógica do art. 5º, inc. III, da Lei nº 10.520, de 17 de julho de 2002</w:t>
      </w:r>
      <w:r>
        <w:rPr>
          <w:rFonts w:cs="Calibri" w:ascii="Times New Roman" w:hAnsi="Times New Roman"/>
          <w:color w:val="auto"/>
          <w:sz w:val="22"/>
          <w:szCs w:val="22"/>
        </w:rPr>
        <w:t>.</w:t>
      </w:r>
    </w:p>
    <w:p>
      <w:pPr>
        <w:pStyle w:val="Default"/>
        <w:spacing w:lineRule="auto" w:line="240"/>
        <w:rPr>
          <w:rFonts w:ascii="Times New Roman" w:hAnsi="Times New Roman" w:cs="Calibri"/>
          <w:sz w:val="22"/>
          <w:szCs w:val="22"/>
        </w:rPr>
      </w:pPr>
      <w:r>
        <w:rPr>
          <w:rFonts w:cs="Calibri" w:ascii="Times New Roman" w:hAnsi="Times New Roman"/>
          <w:sz w:val="22"/>
          <w:szCs w:val="22"/>
        </w:rPr>
      </w:r>
    </w:p>
    <w:p>
      <w:pPr>
        <w:pStyle w:val="Default"/>
        <w:spacing w:lineRule="auto" w:line="240"/>
        <w:rPr>
          <w:rFonts w:ascii="Times New Roman" w:hAnsi="Times New Roman"/>
        </w:rPr>
      </w:pPr>
      <w:r>
        <w:rPr>
          <w:rFonts w:cs="Calibri" w:ascii="Times New Roman" w:hAnsi="Times New Roman"/>
          <w:b/>
          <w:bCs/>
          <w:sz w:val="22"/>
          <w:szCs w:val="22"/>
        </w:rPr>
        <w:t xml:space="preserve">6 - DA VIGÊNCIA </w:t>
      </w:r>
    </w:p>
    <w:p>
      <w:pPr>
        <w:pStyle w:val="Default"/>
        <w:spacing w:lineRule="auto" w:line="240"/>
        <w:rPr>
          <w:rFonts w:ascii="Times New Roman" w:hAnsi="Times New Roman" w:cs="Calibri"/>
          <w:sz w:val="22"/>
          <w:szCs w:val="22"/>
        </w:rPr>
      </w:pPr>
      <w:r>
        <w:rPr>
          <w:rFonts w:cs="Calibri" w:ascii="Times New Roman" w:hAnsi="Times New Roman"/>
          <w:sz w:val="22"/>
          <w:szCs w:val="22"/>
        </w:rPr>
      </w:r>
    </w:p>
    <w:p>
      <w:pPr>
        <w:pStyle w:val="Default"/>
        <w:spacing w:lineRule="auto" w:line="240"/>
        <w:ind w:left="0" w:right="0" w:firstLine="1701"/>
        <w:jc w:val="both"/>
        <w:rPr>
          <w:rFonts w:ascii="Times New Roman" w:hAnsi="Times New Roman"/>
        </w:rPr>
      </w:pPr>
      <w:r>
        <w:rPr>
          <w:rFonts w:cs="Calibri" w:ascii="Times New Roman" w:hAnsi="Times New Roman"/>
          <w:color w:val="auto"/>
          <w:sz w:val="22"/>
          <w:szCs w:val="22"/>
        </w:rPr>
        <w:t xml:space="preserve">O contrato vigorará pelo prazo de 60 (sessenta) meses, a contar da data de sua assinatura, podendo ser prorrogado até o limite de 15 (quinze anos). </w:t>
      </w:r>
    </w:p>
    <w:p>
      <w:pPr>
        <w:pStyle w:val="Default"/>
        <w:spacing w:lineRule="auto" w:line="240"/>
        <w:rPr>
          <w:rFonts w:ascii="Times New Roman" w:hAnsi="Times New Roman" w:cs="Calibri"/>
          <w:sz w:val="22"/>
          <w:szCs w:val="22"/>
        </w:rPr>
      </w:pPr>
      <w:r>
        <w:rPr>
          <w:rFonts w:cs="Calibri" w:ascii="Times New Roman" w:hAnsi="Times New Roman"/>
          <w:sz w:val="22"/>
          <w:szCs w:val="22"/>
        </w:rPr>
      </w:r>
    </w:p>
    <w:p>
      <w:pPr>
        <w:pStyle w:val="Default"/>
        <w:spacing w:lineRule="auto" w:line="240"/>
        <w:rPr>
          <w:rFonts w:ascii="Times New Roman" w:hAnsi="Times New Roman"/>
        </w:rPr>
      </w:pPr>
      <w:r>
        <w:rPr>
          <w:rFonts w:cs="Calibri" w:ascii="Times New Roman" w:hAnsi="Times New Roman"/>
          <w:b/>
          <w:bCs/>
          <w:sz w:val="22"/>
          <w:szCs w:val="22"/>
        </w:rPr>
        <w:t xml:space="preserve">7 – DOTAÇÃO ORÇAMENTÁRIA </w:t>
      </w:r>
    </w:p>
    <w:p>
      <w:pPr>
        <w:pStyle w:val="Default"/>
        <w:spacing w:lineRule="auto" w:line="240"/>
        <w:rPr>
          <w:rFonts w:ascii="Times New Roman" w:hAnsi="Times New Roman" w:cs="Calibri"/>
          <w:sz w:val="22"/>
          <w:szCs w:val="22"/>
        </w:rPr>
      </w:pPr>
      <w:r>
        <w:rPr>
          <w:rFonts w:cs="Calibri" w:ascii="Times New Roman" w:hAnsi="Times New Roman"/>
          <w:sz w:val="22"/>
          <w:szCs w:val="22"/>
        </w:rPr>
      </w:r>
    </w:p>
    <w:p>
      <w:pPr>
        <w:pStyle w:val="Default"/>
        <w:spacing w:lineRule="auto" w:line="240"/>
        <w:ind w:left="0" w:right="0" w:firstLine="1701"/>
        <w:rPr>
          <w:rFonts w:ascii="Times New Roman" w:hAnsi="Times New Roman"/>
        </w:rPr>
      </w:pPr>
      <w:r>
        <w:rPr>
          <w:rFonts w:cs="Calibri" w:ascii="Times New Roman" w:hAnsi="Times New Roman"/>
          <w:color w:val="auto"/>
          <w:sz w:val="22"/>
          <w:szCs w:val="22"/>
        </w:rPr>
        <w:t xml:space="preserve">Não haverá dispêndio financeiro. </w:t>
      </w:r>
    </w:p>
    <w:p>
      <w:pPr>
        <w:pStyle w:val="Default"/>
        <w:spacing w:lineRule="auto" w:line="240"/>
        <w:rPr>
          <w:rFonts w:ascii="Times New Roman" w:hAnsi="Times New Roman" w:cs="Calibri"/>
          <w:sz w:val="22"/>
          <w:szCs w:val="22"/>
        </w:rPr>
      </w:pPr>
      <w:r>
        <w:rPr>
          <w:rFonts w:cs="Calibri" w:ascii="Times New Roman" w:hAnsi="Times New Roman"/>
          <w:sz w:val="22"/>
          <w:szCs w:val="22"/>
        </w:rPr>
      </w:r>
    </w:p>
    <w:p>
      <w:pPr>
        <w:pStyle w:val="Default"/>
        <w:spacing w:lineRule="auto" w:line="240"/>
        <w:rPr>
          <w:rFonts w:ascii="Times New Roman" w:hAnsi="Times New Roman"/>
        </w:rPr>
      </w:pPr>
      <w:r>
        <w:rPr>
          <w:rFonts w:cs="Calibri" w:ascii="Times New Roman" w:hAnsi="Times New Roman"/>
          <w:b/>
          <w:bCs/>
          <w:sz w:val="22"/>
          <w:szCs w:val="22"/>
        </w:rPr>
        <w:t xml:space="preserve">II – AMPARO LEGAL </w:t>
      </w:r>
    </w:p>
    <w:p>
      <w:pPr>
        <w:pStyle w:val="Default"/>
        <w:spacing w:lineRule="auto" w:line="240"/>
        <w:rPr>
          <w:rFonts w:ascii="Times New Roman" w:hAnsi="Times New Roman" w:cs="Calibri"/>
          <w:sz w:val="22"/>
          <w:szCs w:val="22"/>
        </w:rPr>
      </w:pPr>
      <w:r>
        <w:rPr>
          <w:rFonts w:cs="Calibri" w:ascii="Times New Roman" w:hAnsi="Times New Roman"/>
          <w:sz w:val="22"/>
          <w:szCs w:val="22"/>
        </w:rPr>
      </w:r>
    </w:p>
    <w:p>
      <w:pPr>
        <w:pStyle w:val="Default"/>
        <w:spacing w:lineRule="auto" w:line="240"/>
        <w:ind w:left="0" w:right="0" w:firstLine="1701"/>
        <w:rPr>
          <w:rFonts w:ascii="Times New Roman" w:hAnsi="Times New Roman"/>
        </w:rPr>
      </w:pPr>
      <w:r>
        <w:rPr>
          <w:rFonts w:cs="Calibri" w:ascii="Times New Roman" w:hAnsi="Times New Roman"/>
          <w:color w:val="auto"/>
          <w:sz w:val="22"/>
          <w:szCs w:val="22"/>
        </w:rPr>
        <w:t>Art. 75, inc. II, da Lei nº 14.133/2021.</w:t>
      </w:r>
    </w:p>
    <w:p>
      <w:pPr>
        <w:pStyle w:val="Default"/>
        <w:spacing w:lineRule="auto" w:line="240"/>
        <w:rPr>
          <w:rFonts w:ascii="Times New Roman" w:hAnsi="Times New Roman"/>
        </w:rPr>
      </w:pPr>
      <w:r>
        <w:rPr>
          <w:rFonts w:cs="Calibri" w:ascii="Times New Roman" w:hAnsi="Times New Roman"/>
          <w:sz w:val="22"/>
          <w:szCs w:val="22"/>
        </w:rPr>
        <w:t xml:space="preserve"> </w:t>
      </w:r>
    </w:p>
    <w:p>
      <w:pPr>
        <w:pStyle w:val="Default"/>
        <w:spacing w:lineRule="auto" w:line="240"/>
        <w:rPr>
          <w:rFonts w:ascii="Times New Roman" w:hAnsi="Times New Roman"/>
        </w:rPr>
      </w:pPr>
      <w:r>
        <w:rPr>
          <w:rFonts w:cs="Calibri" w:ascii="Times New Roman" w:hAnsi="Times New Roman"/>
          <w:b/>
          <w:bCs/>
          <w:sz w:val="22"/>
          <w:szCs w:val="22"/>
        </w:rPr>
        <w:t xml:space="preserve">III – DOCUMENTOS INTEGRANTES </w:t>
      </w:r>
    </w:p>
    <w:p>
      <w:pPr>
        <w:pStyle w:val="Default"/>
        <w:spacing w:lineRule="auto" w:line="240"/>
        <w:rPr>
          <w:rFonts w:ascii="Times New Roman" w:hAnsi="Times New Roman" w:cs="Calibri"/>
          <w:sz w:val="22"/>
          <w:szCs w:val="22"/>
        </w:rPr>
      </w:pPr>
      <w:r>
        <w:rPr>
          <w:rFonts w:cs="Calibri" w:ascii="Times New Roman" w:hAnsi="Times New Roman"/>
          <w:sz w:val="22"/>
          <w:szCs w:val="22"/>
        </w:rPr>
      </w:r>
    </w:p>
    <w:p>
      <w:pPr>
        <w:pStyle w:val="Default"/>
        <w:spacing w:lineRule="auto" w:line="240"/>
        <w:ind w:left="993" w:right="0" w:hanging="426"/>
        <w:rPr>
          <w:rFonts w:ascii="Times New Roman" w:hAnsi="Times New Roman"/>
        </w:rPr>
      </w:pPr>
      <w:r>
        <w:rPr>
          <w:rFonts w:cs="Calibri" w:ascii="Times New Roman" w:hAnsi="Times New Roman"/>
          <w:color w:val="auto"/>
          <w:sz w:val="22"/>
          <w:szCs w:val="22"/>
        </w:rPr>
        <w:t xml:space="preserve">a) Estudo Técnico Preliminar nº 20/2024; </w:t>
      </w:r>
    </w:p>
    <w:p>
      <w:pPr>
        <w:pStyle w:val="Default"/>
        <w:spacing w:lineRule="auto" w:line="240"/>
        <w:ind w:left="993" w:right="0" w:hanging="426"/>
        <w:rPr>
          <w:rFonts w:ascii="Times New Roman" w:hAnsi="Times New Roman"/>
        </w:rPr>
      </w:pPr>
      <w:r>
        <w:rPr>
          <w:rFonts w:cs="Calibri" w:ascii="Times New Roman" w:hAnsi="Times New Roman"/>
          <w:color w:val="auto"/>
          <w:sz w:val="22"/>
          <w:szCs w:val="22"/>
        </w:rPr>
        <w:t>b) Projeto Básico nº 20/2024; e</w:t>
      </w:r>
    </w:p>
    <w:p>
      <w:pPr>
        <w:pStyle w:val="Default"/>
        <w:spacing w:lineRule="auto" w:line="240"/>
        <w:ind w:left="993" w:right="0" w:hanging="426"/>
        <w:rPr>
          <w:rFonts w:ascii="Times New Roman" w:hAnsi="Times New Roman"/>
        </w:rPr>
      </w:pPr>
      <w:r>
        <w:rPr>
          <w:rFonts w:cs="Calibri" w:ascii="Times New Roman" w:hAnsi="Times New Roman"/>
          <w:color w:val="auto"/>
          <w:sz w:val="22"/>
          <w:szCs w:val="22"/>
        </w:rPr>
        <w:t>c) Proposta da Contratada nº 20/2024.</w:t>
      </w:r>
    </w:p>
    <w:p>
      <w:pPr>
        <w:pStyle w:val="Default"/>
        <w:spacing w:lineRule="auto" w:line="240"/>
        <w:rPr>
          <w:rFonts w:ascii="Times New Roman" w:hAnsi="Times New Roman" w:cs="Calibri"/>
          <w:sz w:val="22"/>
          <w:szCs w:val="22"/>
        </w:rPr>
      </w:pPr>
      <w:r>
        <w:rPr>
          <w:rFonts w:cs="Calibri" w:ascii="Times New Roman" w:hAnsi="Times New Roman"/>
          <w:sz w:val="22"/>
          <w:szCs w:val="22"/>
        </w:rPr>
      </w:r>
    </w:p>
    <w:p>
      <w:pPr>
        <w:pStyle w:val="Default"/>
        <w:spacing w:lineRule="auto" w:line="240"/>
        <w:rPr>
          <w:rFonts w:ascii="Times New Roman" w:hAnsi="Times New Roman"/>
        </w:rPr>
      </w:pPr>
      <w:r>
        <w:rPr>
          <w:rFonts w:cs="Calibri" w:ascii="Times New Roman" w:hAnsi="Times New Roman"/>
          <w:b/>
          <w:bCs/>
          <w:sz w:val="22"/>
          <w:szCs w:val="22"/>
        </w:rPr>
        <w:t xml:space="preserve">IV – JUSTIFICATIVA </w:t>
      </w:r>
    </w:p>
    <w:p>
      <w:pPr>
        <w:pStyle w:val="Default"/>
        <w:spacing w:lineRule="auto" w:line="240"/>
        <w:rPr>
          <w:rFonts w:ascii="Times New Roman" w:hAnsi="Times New Roman" w:cs="Calibri"/>
          <w:sz w:val="22"/>
          <w:szCs w:val="22"/>
        </w:rPr>
      </w:pPr>
      <w:r>
        <w:rPr>
          <w:rFonts w:cs="Calibri" w:ascii="Times New Roman" w:hAnsi="Times New Roman"/>
          <w:sz w:val="22"/>
          <w:szCs w:val="22"/>
        </w:rPr>
      </w:r>
    </w:p>
    <w:p>
      <w:pPr>
        <w:pStyle w:val="Default"/>
        <w:spacing w:lineRule="auto" w:line="240"/>
        <w:ind w:left="0" w:right="0" w:firstLine="1701"/>
        <w:jc w:val="both"/>
        <w:rPr>
          <w:rFonts w:ascii="Times New Roman" w:hAnsi="Times New Roman"/>
        </w:rPr>
      </w:pPr>
      <w:r>
        <w:rPr>
          <w:rFonts w:cs="Calibri" w:ascii="Times New Roman" w:hAnsi="Times New Roman"/>
          <w:color w:val="auto"/>
          <w:sz w:val="22"/>
          <w:szCs w:val="22"/>
        </w:rPr>
        <w:t>A contratação visa atender a demanda de disponibilização e manutenção de sistema de gerenciamento digital de procedimentos licitatórios, realizados por meio da rede mundial de computadores.</w:t>
      </w:r>
    </w:p>
    <w:p>
      <w:pPr>
        <w:pStyle w:val="Default"/>
        <w:spacing w:lineRule="auto" w:line="240"/>
        <w:ind w:left="0" w:right="0" w:firstLine="1701"/>
        <w:jc w:val="both"/>
        <w:rPr>
          <w:rFonts w:ascii="Times New Roman" w:hAnsi="Times New Roman" w:cs="Calibri"/>
          <w:color w:val="auto"/>
          <w:sz w:val="22"/>
          <w:szCs w:val="22"/>
        </w:rPr>
      </w:pPr>
      <w:r>
        <w:rPr>
          <w:rFonts w:cs="Calibri" w:ascii="Times New Roman" w:hAnsi="Times New Roman"/>
          <w:color w:val="auto"/>
          <w:sz w:val="22"/>
          <w:szCs w:val="22"/>
        </w:rPr>
      </w:r>
    </w:p>
    <w:p>
      <w:pPr>
        <w:pStyle w:val="Default"/>
        <w:spacing w:lineRule="auto" w:line="240"/>
        <w:ind w:left="0" w:right="0" w:firstLine="1701"/>
        <w:jc w:val="both"/>
        <w:rPr>
          <w:rFonts w:ascii="Times New Roman" w:hAnsi="Times New Roman"/>
        </w:rPr>
      </w:pPr>
      <w:r>
        <w:rPr>
          <w:rFonts w:cs="Calibri" w:ascii="Times New Roman" w:hAnsi="Times New Roman"/>
          <w:color w:val="auto"/>
          <w:sz w:val="22"/>
          <w:szCs w:val="22"/>
        </w:rPr>
        <w:t>A demanda inicial deste Poder Legislativo é a realização de Pregão Eletronico para aquisição prioritariamente de móveis e equipamentos para o Novo Plenário que está com a obra  em fase de finalização. Não serão excluídas outras modalidades a serem oferecidas ou criadas no sistema Portal de Compras Públicas.</w:t>
      </w:r>
    </w:p>
    <w:p>
      <w:pPr>
        <w:pStyle w:val="Default"/>
        <w:spacing w:lineRule="auto" w:line="240"/>
        <w:ind w:left="0" w:right="0" w:firstLine="1701"/>
        <w:jc w:val="both"/>
        <w:rPr>
          <w:rFonts w:ascii="Times New Roman" w:hAnsi="Times New Roman" w:cs="Calibri"/>
          <w:color w:val="auto"/>
          <w:sz w:val="22"/>
          <w:szCs w:val="22"/>
        </w:rPr>
      </w:pPr>
      <w:r>
        <w:rPr>
          <w:rFonts w:cs="Calibri" w:ascii="Times New Roman" w:hAnsi="Times New Roman"/>
          <w:color w:val="auto"/>
          <w:sz w:val="22"/>
          <w:szCs w:val="22"/>
        </w:rPr>
      </w:r>
    </w:p>
    <w:p>
      <w:pPr>
        <w:pStyle w:val="Default"/>
        <w:spacing w:lineRule="auto" w:line="240"/>
        <w:ind w:left="0" w:right="0" w:firstLine="1701"/>
        <w:jc w:val="both"/>
        <w:rPr>
          <w:rFonts w:ascii="Times New Roman" w:hAnsi="Times New Roman"/>
        </w:rPr>
      </w:pPr>
      <w:r>
        <w:rPr>
          <w:rFonts w:cs="Calibri" w:ascii="Times New Roman" w:hAnsi="Times New Roman"/>
          <w:color w:val="auto"/>
          <w:sz w:val="22"/>
          <w:szCs w:val="22"/>
        </w:rPr>
        <w:t>Como resultado da contratação, verificam-se os seguintes benefícios para a Câmara Municipal de Vereadores:</w:t>
      </w:r>
    </w:p>
    <w:p>
      <w:pPr>
        <w:pStyle w:val="Default"/>
        <w:spacing w:lineRule="auto" w:line="240"/>
        <w:ind w:left="0" w:right="0" w:firstLine="1701"/>
        <w:jc w:val="both"/>
        <w:rPr>
          <w:rFonts w:ascii="Times New Roman" w:hAnsi="Times New Roman" w:cs="Calibri"/>
          <w:color w:val="auto"/>
          <w:sz w:val="22"/>
          <w:szCs w:val="22"/>
        </w:rPr>
      </w:pPr>
      <w:r>
        <w:rPr>
          <w:rFonts w:cs="Calibri" w:ascii="Times New Roman" w:hAnsi="Times New Roman"/>
          <w:color w:val="auto"/>
          <w:sz w:val="22"/>
          <w:szCs w:val="22"/>
        </w:rPr>
      </w:r>
    </w:p>
    <w:p>
      <w:pPr>
        <w:pStyle w:val="Default"/>
        <w:numPr>
          <w:ilvl w:val="0"/>
          <w:numId w:val="13"/>
        </w:numPr>
        <w:spacing w:lineRule="auto" w:line="240"/>
        <w:ind w:left="993" w:right="0" w:hanging="426"/>
        <w:jc w:val="both"/>
        <w:rPr>
          <w:rFonts w:ascii="Times New Roman" w:hAnsi="Times New Roman"/>
        </w:rPr>
      </w:pPr>
      <w:r>
        <w:rPr>
          <w:rFonts w:cs="Calibri" w:ascii="Times New Roman" w:hAnsi="Times New Roman"/>
          <w:color w:val="auto"/>
          <w:sz w:val="22"/>
          <w:szCs w:val="22"/>
        </w:rPr>
        <w:t>ausência de dispêndio financeiro;</w:t>
      </w:r>
    </w:p>
    <w:p>
      <w:pPr>
        <w:pStyle w:val="Default"/>
        <w:numPr>
          <w:ilvl w:val="0"/>
          <w:numId w:val="13"/>
        </w:numPr>
        <w:spacing w:lineRule="auto" w:line="240"/>
        <w:ind w:left="993" w:right="0" w:hanging="426"/>
        <w:jc w:val="both"/>
        <w:rPr>
          <w:rFonts w:ascii="Times New Roman" w:hAnsi="Times New Roman"/>
        </w:rPr>
      </w:pPr>
      <w:r>
        <w:rPr>
          <w:rFonts w:cs="Calibri" w:ascii="Times New Roman" w:hAnsi="Times New Roman"/>
          <w:color w:val="auto"/>
          <w:sz w:val="22"/>
          <w:szCs w:val="22"/>
        </w:rPr>
        <w:t>aumento da competitividade em suas licitações;</w:t>
      </w:r>
    </w:p>
    <w:p>
      <w:pPr>
        <w:pStyle w:val="Default"/>
        <w:numPr>
          <w:ilvl w:val="0"/>
          <w:numId w:val="13"/>
        </w:numPr>
        <w:spacing w:lineRule="auto" w:line="240"/>
        <w:ind w:left="993" w:right="0" w:hanging="426"/>
        <w:jc w:val="both"/>
        <w:rPr>
          <w:rFonts w:ascii="Times New Roman" w:hAnsi="Times New Roman"/>
        </w:rPr>
      </w:pPr>
      <w:r>
        <w:rPr>
          <w:rFonts w:cs="Calibri" w:ascii="Times New Roman" w:hAnsi="Times New Roman"/>
          <w:color w:val="auto"/>
          <w:sz w:val="22"/>
          <w:szCs w:val="22"/>
        </w:rPr>
        <w:t>mais celeridade e eficiência em seus procedimentos;</w:t>
      </w:r>
    </w:p>
    <w:p>
      <w:pPr>
        <w:pStyle w:val="Default"/>
        <w:numPr>
          <w:ilvl w:val="0"/>
          <w:numId w:val="13"/>
        </w:numPr>
        <w:spacing w:lineRule="auto" w:line="240"/>
        <w:ind w:left="993" w:right="0" w:hanging="426"/>
        <w:jc w:val="both"/>
        <w:rPr>
          <w:rFonts w:ascii="Times New Roman" w:hAnsi="Times New Roman"/>
        </w:rPr>
      </w:pPr>
      <w:r>
        <w:rPr>
          <w:rFonts w:cs="Calibri" w:ascii="Times New Roman" w:hAnsi="Times New Roman"/>
          <w:color w:val="auto"/>
          <w:sz w:val="22"/>
          <w:szCs w:val="22"/>
        </w:rPr>
        <w:t>controle de documentação e atestado de fornecedores;</w:t>
      </w:r>
    </w:p>
    <w:p>
      <w:pPr>
        <w:pStyle w:val="Default"/>
        <w:numPr>
          <w:ilvl w:val="0"/>
          <w:numId w:val="13"/>
        </w:numPr>
        <w:spacing w:lineRule="auto" w:line="240"/>
        <w:ind w:left="993" w:right="0" w:hanging="426"/>
        <w:jc w:val="both"/>
        <w:rPr>
          <w:rFonts w:ascii="Times New Roman" w:hAnsi="Times New Roman"/>
        </w:rPr>
      </w:pPr>
      <w:r>
        <w:rPr>
          <w:rFonts w:cs="Calibri" w:ascii="Times New Roman" w:hAnsi="Times New Roman"/>
          <w:sz w:val="22"/>
          <w:szCs w:val="22"/>
        </w:rPr>
        <w:t>possibilidade de personalização de formulários;</w:t>
      </w:r>
      <w:r>
        <w:rPr>
          <w:rFonts w:cs="Calibri" w:ascii="Times New Roman" w:hAnsi="Times New Roman"/>
          <w:color w:val="auto"/>
          <w:sz w:val="22"/>
          <w:szCs w:val="22"/>
        </w:rPr>
        <w:t xml:space="preserve"> e</w:t>
      </w:r>
    </w:p>
    <w:p>
      <w:pPr>
        <w:pStyle w:val="Default"/>
        <w:numPr>
          <w:ilvl w:val="0"/>
          <w:numId w:val="13"/>
        </w:numPr>
        <w:spacing w:lineRule="auto" w:line="240"/>
        <w:ind w:left="993" w:right="0" w:hanging="426"/>
        <w:jc w:val="both"/>
        <w:rPr>
          <w:rFonts w:ascii="Times New Roman" w:hAnsi="Times New Roman"/>
        </w:rPr>
      </w:pPr>
      <w:r>
        <w:rPr>
          <w:rFonts w:cs="Calibri" w:ascii="Times New Roman" w:hAnsi="Times New Roman"/>
          <w:color w:val="auto"/>
          <w:sz w:val="22"/>
          <w:szCs w:val="22"/>
        </w:rPr>
        <w:t>integração com outros sistemas porventura existentes, incluindo sistemas de Tribunais de Contas; e capacitação e cursos operacionais.</w:t>
      </w:r>
    </w:p>
    <w:p>
      <w:pPr>
        <w:pStyle w:val="Default"/>
        <w:spacing w:lineRule="auto" w:line="240"/>
        <w:ind w:left="0" w:right="0" w:firstLine="1701"/>
        <w:jc w:val="both"/>
        <w:rPr>
          <w:rFonts w:ascii="Times New Roman" w:hAnsi="Times New Roman" w:cs="Calibri"/>
          <w:color w:val="auto"/>
          <w:sz w:val="22"/>
          <w:szCs w:val="22"/>
        </w:rPr>
      </w:pPr>
      <w:r>
        <w:rPr>
          <w:rFonts w:cs="Calibri" w:ascii="Times New Roman" w:hAnsi="Times New Roman"/>
          <w:color w:val="auto"/>
          <w:sz w:val="22"/>
          <w:szCs w:val="22"/>
        </w:rPr>
      </w:r>
    </w:p>
    <w:p>
      <w:pPr>
        <w:pStyle w:val="Default"/>
        <w:spacing w:lineRule="auto" w:line="240"/>
        <w:ind w:left="0" w:right="0" w:firstLine="1701"/>
        <w:jc w:val="both"/>
        <w:rPr>
          <w:rFonts w:ascii="Times New Roman" w:hAnsi="Times New Roman"/>
        </w:rPr>
      </w:pPr>
      <w:r>
        <w:rPr>
          <w:rFonts w:cs="Calibri" w:ascii="Times New Roman" w:hAnsi="Times New Roman"/>
          <w:color w:val="auto"/>
          <w:sz w:val="22"/>
          <w:szCs w:val="22"/>
        </w:rPr>
        <w:t>A contratação do sistema trará também os seguintes benefícios para os potenciais fornecedores do Poder Legislativo:</w:t>
      </w:r>
    </w:p>
    <w:p>
      <w:pPr>
        <w:pStyle w:val="Default"/>
        <w:spacing w:lineRule="auto" w:line="240"/>
        <w:ind w:left="0" w:right="0" w:firstLine="1701"/>
        <w:jc w:val="both"/>
        <w:rPr>
          <w:rFonts w:ascii="Times New Roman" w:hAnsi="Times New Roman" w:cs="Calibri"/>
          <w:color w:val="auto"/>
          <w:sz w:val="22"/>
          <w:szCs w:val="22"/>
        </w:rPr>
      </w:pPr>
      <w:r>
        <w:rPr>
          <w:rFonts w:cs="Calibri" w:ascii="Times New Roman" w:hAnsi="Times New Roman"/>
          <w:color w:val="auto"/>
          <w:sz w:val="22"/>
          <w:szCs w:val="22"/>
        </w:rPr>
      </w:r>
    </w:p>
    <w:p>
      <w:pPr>
        <w:pStyle w:val="Default"/>
        <w:numPr>
          <w:ilvl w:val="0"/>
          <w:numId w:val="14"/>
        </w:numPr>
        <w:spacing w:lineRule="auto" w:line="240"/>
        <w:ind w:left="993" w:right="0" w:hanging="426"/>
        <w:jc w:val="both"/>
        <w:rPr>
          <w:rFonts w:ascii="Times New Roman" w:hAnsi="Times New Roman"/>
        </w:rPr>
      </w:pPr>
      <w:r>
        <w:rPr>
          <w:rFonts w:cs="Calibri" w:ascii="Times New Roman" w:hAnsi="Times New Roman"/>
          <w:color w:val="auto"/>
          <w:sz w:val="22"/>
          <w:szCs w:val="22"/>
        </w:rPr>
        <w:t>a redução de custos para garantir participação nos certames, já que não há necessidade de deslocamento ou acomodação;</w:t>
      </w:r>
    </w:p>
    <w:p>
      <w:pPr>
        <w:pStyle w:val="Default"/>
        <w:numPr>
          <w:ilvl w:val="0"/>
          <w:numId w:val="14"/>
        </w:numPr>
        <w:spacing w:lineRule="auto" w:line="240"/>
        <w:ind w:left="993" w:right="0" w:hanging="426"/>
        <w:jc w:val="both"/>
        <w:rPr>
          <w:rFonts w:ascii="Times New Roman" w:hAnsi="Times New Roman"/>
        </w:rPr>
      </w:pPr>
      <w:r>
        <w:rPr>
          <w:rFonts w:cs="Calibri" w:ascii="Times New Roman" w:hAnsi="Times New Roman"/>
          <w:color w:val="auto"/>
          <w:sz w:val="22"/>
          <w:szCs w:val="22"/>
        </w:rPr>
        <w:t>a ampliação do raio de atuação, podendo fazer propostas e lances em processos de qualquer lugar do Brasil; </w:t>
      </w:r>
    </w:p>
    <w:p>
      <w:pPr>
        <w:pStyle w:val="Default"/>
        <w:numPr>
          <w:ilvl w:val="0"/>
          <w:numId w:val="14"/>
        </w:numPr>
        <w:spacing w:lineRule="auto" w:line="240"/>
        <w:ind w:left="993" w:right="0" w:hanging="426"/>
        <w:jc w:val="both"/>
        <w:rPr>
          <w:rFonts w:ascii="Times New Roman" w:hAnsi="Times New Roman"/>
        </w:rPr>
      </w:pPr>
      <w:r>
        <w:rPr>
          <w:rFonts w:cs="Calibri" w:ascii="Times New Roman" w:hAnsi="Times New Roman"/>
          <w:color w:val="auto"/>
          <w:sz w:val="22"/>
          <w:szCs w:val="22"/>
        </w:rPr>
        <w:t xml:space="preserve">o conhecimento de todas as licitações na sua área de atuação via meio eletrônico; </w:t>
      </w:r>
    </w:p>
    <w:p>
      <w:pPr>
        <w:pStyle w:val="Default"/>
        <w:numPr>
          <w:ilvl w:val="0"/>
          <w:numId w:val="14"/>
        </w:numPr>
        <w:spacing w:lineRule="auto" w:line="240"/>
        <w:ind w:left="993" w:right="0" w:hanging="426"/>
        <w:jc w:val="both"/>
        <w:rPr>
          <w:rFonts w:ascii="Times New Roman" w:hAnsi="Times New Roman"/>
        </w:rPr>
      </w:pPr>
      <w:r>
        <w:rPr>
          <w:rFonts w:cs="Calibri" w:ascii="Times New Roman" w:hAnsi="Times New Roman"/>
          <w:color w:val="auto"/>
          <w:sz w:val="22"/>
          <w:szCs w:val="22"/>
        </w:rPr>
        <w:t xml:space="preserve">a pesquisa, a visualização e o download de editais de forma online; e </w:t>
      </w:r>
    </w:p>
    <w:p>
      <w:pPr>
        <w:pStyle w:val="Default"/>
        <w:numPr>
          <w:ilvl w:val="0"/>
          <w:numId w:val="14"/>
        </w:numPr>
        <w:spacing w:lineRule="auto" w:line="240"/>
        <w:ind w:left="993" w:right="0" w:hanging="426"/>
        <w:jc w:val="both"/>
        <w:rPr>
          <w:rFonts w:ascii="Times New Roman" w:hAnsi="Times New Roman"/>
        </w:rPr>
      </w:pPr>
      <w:r>
        <w:rPr>
          <w:rFonts w:cs="Calibri" w:ascii="Times New Roman" w:hAnsi="Times New Roman"/>
          <w:color w:val="auto"/>
          <w:sz w:val="22"/>
          <w:szCs w:val="22"/>
        </w:rPr>
        <w:t>a certificação de todos os preços praticados após abertura de propostas e fases dos processos.</w:t>
      </w:r>
    </w:p>
    <w:p>
      <w:pPr>
        <w:pStyle w:val="Default"/>
        <w:spacing w:lineRule="auto" w:line="240"/>
        <w:ind w:left="0" w:right="0" w:firstLine="1701"/>
        <w:jc w:val="both"/>
        <w:rPr>
          <w:rFonts w:ascii="Times New Roman" w:hAnsi="Times New Roman" w:cs="Calibri"/>
          <w:color w:val="auto"/>
          <w:sz w:val="22"/>
          <w:szCs w:val="22"/>
        </w:rPr>
      </w:pPr>
      <w:r>
        <w:rPr>
          <w:rFonts w:cs="Calibri" w:ascii="Times New Roman" w:hAnsi="Times New Roman"/>
          <w:color w:val="auto"/>
          <w:sz w:val="22"/>
          <w:szCs w:val="22"/>
        </w:rPr>
      </w:r>
    </w:p>
    <w:p>
      <w:pPr>
        <w:pStyle w:val="Default"/>
        <w:spacing w:lineRule="auto" w:line="240"/>
        <w:ind w:left="0" w:right="0" w:firstLine="1701"/>
        <w:jc w:val="both"/>
        <w:rPr>
          <w:rFonts w:ascii="Times New Roman" w:hAnsi="Times New Roman"/>
        </w:rPr>
      </w:pPr>
      <w:r>
        <w:rPr>
          <w:rFonts w:cs="Calibri" w:ascii="Times New Roman" w:hAnsi="Times New Roman"/>
          <w:color w:val="auto"/>
          <w:sz w:val="22"/>
          <w:szCs w:val="22"/>
        </w:rPr>
        <w:t>No presente caso, não haverá dispêndio financeiro por parte da Câmara Municipal de Vereadores, o que, objetivamente, se enquadra na hipótese legal dispensa em razão do valor.</w:t>
      </w:r>
    </w:p>
    <w:p>
      <w:pPr>
        <w:pStyle w:val="Default"/>
        <w:spacing w:lineRule="auto" w:line="240"/>
        <w:ind w:left="0" w:right="0" w:firstLine="1701"/>
        <w:jc w:val="both"/>
        <w:rPr>
          <w:rFonts w:ascii="Times New Roman" w:hAnsi="Times New Roman" w:cs="Calibri"/>
          <w:color w:val="auto"/>
          <w:sz w:val="22"/>
          <w:szCs w:val="22"/>
        </w:rPr>
      </w:pPr>
      <w:r>
        <w:rPr>
          <w:rFonts w:cs="Calibri" w:ascii="Times New Roman" w:hAnsi="Times New Roman"/>
          <w:color w:val="auto"/>
          <w:sz w:val="22"/>
          <w:szCs w:val="22"/>
        </w:rPr>
      </w:r>
    </w:p>
    <w:p>
      <w:pPr>
        <w:pStyle w:val="Default"/>
        <w:spacing w:lineRule="auto" w:line="240"/>
        <w:ind w:left="0" w:right="0" w:firstLine="1701"/>
        <w:jc w:val="both"/>
        <w:rPr>
          <w:rFonts w:ascii="Times New Roman" w:hAnsi="Times New Roman"/>
        </w:rPr>
      </w:pPr>
      <w:r>
        <w:rPr>
          <w:rFonts w:cs="Calibri" w:ascii="Times New Roman" w:hAnsi="Times New Roman"/>
          <w:color w:val="auto"/>
          <w:sz w:val="22"/>
          <w:szCs w:val="22"/>
        </w:rPr>
        <w:t>Assim, considerando a possibilidade de contratação direta em razão do valor, tendo em vista estar no limite preconizado no inc. II, é possível a contratação por meio de dispensa de licitação, com observância dos requisitos previstos na Lei nº 14.133/2021.</w:t>
      </w:r>
    </w:p>
    <w:p>
      <w:pPr>
        <w:pStyle w:val="Default"/>
        <w:spacing w:lineRule="auto" w:line="240"/>
        <w:rPr>
          <w:rFonts w:ascii="Times New Roman" w:hAnsi="Times New Roman" w:cs="Calibri"/>
          <w:sz w:val="22"/>
          <w:szCs w:val="22"/>
        </w:rPr>
      </w:pPr>
      <w:r>
        <w:rPr>
          <w:rFonts w:cs="Calibri" w:ascii="Times New Roman" w:hAnsi="Times New Roman"/>
          <w:sz w:val="22"/>
          <w:szCs w:val="22"/>
        </w:rPr>
      </w:r>
    </w:p>
    <w:p>
      <w:pPr>
        <w:pStyle w:val="Default"/>
        <w:spacing w:lineRule="auto" w:line="240"/>
        <w:rPr>
          <w:rFonts w:ascii="Times New Roman" w:hAnsi="Times New Roman"/>
        </w:rPr>
      </w:pPr>
      <w:r>
        <w:rPr>
          <w:rFonts w:cs="Calibri" w:ascii="Times New Roman" w:hAnsi="Times New Roman"/>
          <w:b/>
          <w:bCs/>
          <w:sz w:val="22"/>
          <w:szCs w:val="22"/>
        </w:rPr>
        <w:t xml:space="preserve">V – RESOLUÇÃO </w:t>
      </w:r>
    </w:p>
    <w:p>
      <w:pPr>
        <w:pStyle w:val="Default"/>
        <w:spacing w:lineRule="auto" w:line="240"/>
        <w:rPr>
          <w:rFonts w:ascii="Times New Roman" w:hAnsi="Times New Roman" w:cs="Calibri"/>
          <w:sz w:val="22"/>
          <w:szCs w:val="22"/>
        </w:rPr>
      </w:pPr>
      <w:r>
        <w:rPr>
          <w:rFonts w:cs="Calibri" w:ascii="Times New Roman" w:hAnsi="Times New Roman"/>
          <w:sz w:val="22"/>
          <w:szCs w:val="22"/>
        </w:rPr>
      </w:r>
    </w:p>
    <w:p>
      <w:pPr>
        <w:pStyle w:val="Default"/>
        <w:spacing w:lineRule="auto" w:line="240"/>
        <w:ind w:left="0" w:right="0" w:firstLine="1701"/>
        <w:jc w:val="both"/>
        <w:rPr>
          <w:rFonts w:ascii="Times New Roman" w:hAnsi="Times New Roman"/>
        </w:rPr>
      </w:pPr>
      <w:r>
        <w:rPr>
          <w:rFonts w:cs="Calibri" w:ascii="Times New Roman" w:hAnsi="Times New Roman"/>
          <w:color w:val="auto"/>
          <w:sz w:val="22"/>
          <w:szCs w:val="22"/>
        </w:rPr>
        <w:t xml:space="preserve">Presentes os pressupostos do art. 75, inciso II, da Lei nº 14.133/2021, resolvo considerar </w:t>
      </w:r>
      <w:r>
        <w:rPr>
          <w:rFonts w:cs="Calibri" w:ascii="Times New Roman" w:hAnsi="Times New Roman"/>
          <w:b/>
          <w:bCs/>
          <w:color w:val="auto"/>
          <w:sz w:val="22"/>
          <w:szCs w:val="22"/>
        </w:rPr>
        <w:t>DISPENSÁVEL</w:t>
      </w:r>
      <w:r>
        <w:rPr>
          <w:rFonts w:cs="Calibri" w:ascii="Times New Roman" w:hAnsi="Times New Roman"/>
          <w:color w:val="auto"/>
          <w:sz w:val="22"/>
          <w:szCs w:val="22"/>
        </w:rPr>
        <w:t xml:space="preserve"> a licitação para a contratação dos serviços que constituem o objeto do presente Termo, e encaminhar o processo para a deliberação da autoridade superior para, considerando que nada obste, ratifique-o. </w:t>
      </w:r>
    </w:p>
    <w:p>
      <w:pPr>
        <w:pStyle w:val="Default"/>
        <w:spacing w:lineRule="auto" w:line="240"/>
        <w:rPr>
          <w:rFonts w:ascii="Times New Roman" w:hAnsi="Times New Roman" w:cs="Calibri"/>
          <w:sz w:val="22"/>
          <w:szCs w:val="22"/>
        </w:rPr>
      </w:pPr>
      <w:r>
        <w:rPr>
          <w:rFonts w:cs="Calibri" w:ascii="Times New Roman" w:hAnsi="Times New Roman"/>
          <w:sz w:val="22"/>
          <w:szCs w:val="22"/>
        </w:rPr>
      </w:r>
    </w:p>
    <w:p>
      <w:pPr>
        <w:pStyle w:val="Default"/>
        <w:spacing w:lineRule="auto" w:line="240"/>
        <w:jc w:val="center"/>
        <w:rPr>
          <w:rFonts w:ascii="Times New Roman" w:hAnsi="Times New Roman"/>
        </w:rPr>
      </w:pPr>
      <w:r>
        <w:rPr>
          <w:rFonts w:cs="Calibri" w:ascii="Times New Roman" w:hAnsi="Times New Roman"/>
          <w:color w:val="auto"/>
          <w:sz w:val="22"/>
          <w:szCs w:val="22"/>
        </w:rPr>
        <w:t>Três Passos, 19 de novembro de 2024.</w:t>
      </w:r>
    </w:p>
    <w:p>
      <w:pPr>
        <w:pStyle w:val="Default"/>
        <w:spacing w:lineRule="auto" w:line="240"/>
        <w:rPr>
          <w:rFonts w:ascii="Times New Roman" w:hAnsi="Times New Roman" w:cs="Calibri"/>
          <w:color w:val="auto"/>
          <w:sz w:val="22"/>
          <w:szCs w:val="22"/>
        </w:rPr>
      </w:pPr>
      <w:r>
        <w:rPr>
          <w:rFonts w:cs="Calibri" w:ascii="Times New Roman" w:hAnsi="Times New Roman"/>
          <w:color w:val="auto"/>
          <w:sz w:val="22"/>
          <w:szCs w:val="22"/>
        </w:rPr>
      </w:r>
    </w:p>
    <w:p>
      <w:pPr>
        <w:pStyle w:val="Normal"/>
        <w:spacing w:lineRule="auto" w:line="276"/>
        <w:jc w:val="center"/>
        <w:rPr>
          <w:rFonts w:ascii="Times New Roman" w:hAnsi="Times New Roman" w:cs="Calibri"/>
        </w:rPr>
      </w:pPr>
      <w:r>
        <w:rPr>
          <w:rFonts w:cs="Calibri"/>
        </w:rPr>
      </w:r>
    </w:p>
    <w:p>
      <w:pPr>
        <w:pStyle w:val="Normal"/>
        <w:spacing w:lineRule="auto" w:line="276"/>
        <w:jc w:val="center"/>
        <w:rPr>
          <w:rFonts w:ascii="Times New Roman" w:hAnsi="Times New Roman"/>
        </w:rPr>
      </w:pPr>
      <w:r>
        <w:rPr>
          <w:rFonts w:cs="Calibri"/>
        </w:rPr>
        <w:t>Ordenador de Despesas</w:t>
      </w:r>
    </w:p>
    <w:p>
      <w:pPr>
        <w:pStyle w:val="Normal"/>
        <w:spacing w:lineRule="auto" w:line="276"/>
        <w:rPr>
          <w:rFonts w:ascii="Times New Roman" w:hAnsi="Times New Roman" w:cs="Calibri"/>
          <w:b/>
          <w:b/>
        </w:rPr>
      </w:pPr>
      <w:r>
        <w:rPr>
          <w:rFonts w:cs="Calibri"/>
          <w:b/>
        </w:rPr>
      </w:r>
    </w:p>
    <w:p>
      <w:pPr>
        <w:pStyle w:val="Normal"/>
        <w:spacing w:lineRule="auto" w:line="276"/>
        <w:rPr>
          <w:rFonts w:ascii="Times New Roman" w:hAnsi="Times New Roman"/>
        </w:rPr>
      </w:pPr>
      <w:r>
        <w:rPr>
          <w:rFonts w:cs="Calibri"/>
          <w:b/>
        </w:rPr>
        <w:t>RATIFICAÇÃO</w:t>
      </w:r>
      <w:r>
        <w:rPr>
          <w:rFonts w:cs="Calibri"/>
        </w:rPr>
        <w:t>:</w:t>
      </w:r>
    </w:p>
    <w:p>
      <w:pPr>
        <w:pStyle w:val="Normal"/>
        <w:spacing w:lineRule="auto" w:line="276"/>
        <w:jc w:val="both"/>
        <w:rPr/>
      </w:pPr>
      <w:r>
        <w:rPr>
          <w:rFonts w:cs="Calibri" w:ascii="Times New Roman" w:hAnsi="Times New Roman"/>
        </w:rPr>
        <w:t xml:space="preserve">Nos exatos termos do </w:t>
      </w:r>
      <w:r>
        <w:rPr>
          <w:rStyle w:val="Cf01"/>
          <w:rFonts w:eastAsia="0" w:ascii="Times New Roman" w:hAnsi="Times New Roman"/>
          <w:sz w:val="22"/>
        </w:rPr>
        <w:t>art. 72, inc. VIII, da Lei nº 14.133/2021</w:t>
      </w:r>
      <w:r>
        <w:rPr>
          <w:rFonts w:cs="Calibri" w:ascii="Times New Roman" w:hAnsi="Times New Roman"/>
        </w:rPr>
        <w:t>, ratifico a dispensa de licitação para a contratação do objeto do Termo de Dispensa de Licitação  nº 19</w:t>
      </w:r>
      <w:r>
        <w:rPr>
          <w:rFonts w:cs="Calibri"/>
        </w:rPr>
        <w:t>/2024.</w:t>
      </w:r>
    </w:p>
    <w:p>
      <w:pPr>
        <w:pStyle w:val="Default"/>
        <w:spacing w:lineRule="auto" w:line="240"/>
        <w:jc w:val="center"/>
        <w:rPr>
          <w:rFonts w:ascii="Times New Roman" w:hAnsi="Times New Roman" w:cs="Calibri"/>
          <w:color w:val="auto"/>
          <w:sz w:val="22"/>
          <w:szCs w:val="22"/>
        </w:rPr>
      </w:pPr>
      <w:r>
        <w:rPr>
          <w:rFonts w:cs="Calibri" w:ascii="Times New Roman" w:hAnsi="Times New Roman"/>
          <w:color w:val="auto"/>
          <w:sz w:val="22"/>
          <w:szCs w:val="22"/>
        </w:rPr>
      </w:r>
    </w:p>
    <w:p>
      <w:pPr>
        <w:pStyle w:val="Default"/>
        <w:spacing w:lineRule="auto" w:line="240"/>
        <w:jc w:val="center"/>
        <w:rPr>
          <w:rFonts w:ascii="Times New Roman" w:hAnsi="Times New Roman" w:cs="Calibri"/>
          <w:color w:val="auto"/>
          <w:sz w:val="22"/>
          <w:szCs w:val="22"/>
        </w:rPr>
      </w:pPr>
      <w:r>
        <w:rPr>
          <w:rFonts w:cs="Calibri" w:ascii="Times New Roman" w:hAnsi="Times New Roman"/>
          <w:color w:val="auto"/>
          <w:sz w:val="22"/>
          <w:szCs w:val="22"/>
        </w:rPr>
      </w:r>
    </w:p>
    <w:p>
      <w:pPr>
        <w:pStyle w:val="Default"/>
        <w:spacing w:lineRule="auto" w:line="240"/>
        <w:jc w:val="center"/>
        <w:rPr>
          <w:rFonts w:ascii="Times New Roman" w:hAnsi="Times New Roman"/>
        </w:rPr>
      </w:pPr>
      <w:r>
        <w:rPr>
          <w:rFonts w:cs="Calibri" w:ascii="Times New Roman" w:hAnsi="Times New Roman"/>
          <w:color w:val="auto"/>
          <w:sz w:val="22"/>
          <w:szCs w:val="22"/>
        </w:rPr>
        <w:t>Três Passos-RS,  21  de  novembro de 2024.</w:t>
      </w:r>
    </w:p>
    <w:p>
      <w:pPr>
        <w:pStyle w:val="Default"/>
        <w:spacing w:lineRule="auto" w:line="240"/>
        <w:rPr>
          <w:rFonts w:ascii="Times New Roman" w:hAnsi="Times New Roman" w:cs="Calibri"/>
          <w:color w:val="auto"/>
          <w:sz w:val="22"/>
          <w:szCs w:val="22"/>
        </w:rPr>
      </w:pPr>
      <w:r>
        <w:rPr>
          <w:rFonts w:cs="Calibri" w:ascii="Times New Roman" w:hAnsi="Times New Roman"/>
          <w:color w:val="auto"/>
          <w:sz w:val="22"/>
          <w:szCs w:val="22"/>
        </w:rPr>
      </w:r>
    </w:p>
    <w:p>
      <w:pPr>
        <w:pStyle w:val="Normal"/>
        <w:spacing w:lineRule="auto" w:line="276"/>
        <w:jc w:val="center"/>
        <w:rPr>
          <w:rFonts w:ascii="Times New Roman" w:hAnsi="Times New Roman" w:cs="Calibri"/>
        </w:rPr>
      </w:pPr>
      <w:r>
        <w:rPr>
          <w:rFonts w:cs="Calibri"/>
        </w:rPr>
      </w:r>
    </w:p>
    <w:p>
      <w:pPr>
        <w:pStyle w:val="Normal"/>
        <w:jc w:val="center"/>
        <w:rPr>
          <w:rFonts w:ascii="Times New Roman" w:hAnsi="Times New Roman"/>
        </w:rPr>
      </w:pPr>
      <w:r>
        <w:rPr>
          <w:rFonts w:cs="Calibri"/>
        </w:rPr>
        <w:t>Edivan Nelsi Baron</w:t>
        <w:br/>
        <w:t>Vice-Presidente no exercício da Presidência</w:t>
      </w:r>
    </w:p>
    <w:sectPr>
      <w:headerReference w:type="default" r:id="rId2"/>
      <w:footerReference w:type="default" r:id="rId3"/>
      <w:footnotePr>
        <w:numFmt w:val="decimal"/>
      </w:footnotePr>
      <w:type w:val="nextPage"/>
      <w:pgSz w:w="11906" w:h="16838"/>
      <w:pgMar w:left="1418" w:right="1128" w:gutter="0" w:header="851" w:top="1134" w:footer="851"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Segoe UI">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OpenSymbol">
    <w:altName w:val="Arial Unicode MS"/>
    <w:charset w:val="00"/>
    <w:family w:val="roman"/>
    <w:pitch w:val="variable"/>
  </w:font>
  <w:font w:name="Cambria">
    <w:charset w:val="00"/>
    <w:family w:val="roman"/>
    <w:pitch w:val="variable"/>
  </w:font>
  <w:font w:name="Liberation Sans">
    <w:altName w:val="Arial"/>
    <w:charset w:val="00"/>
    <w:family w:val="roman"/>
    <w:pitch w:val="variable"/>
  </w:font>
  <w:font w:name="Palatino Linotype">
    <w:charset w:val="00"/>
    <w:family w:val="roman"/>
    <w:pitch w:val="variable"/>
  </w:font>
  <w:font w:name="MinionPro-Regular">
    <w:charset w:val="00"/>
    <w:family w:val="roman"/>
    <w:pitch w:val="variable"/>
  </w:font>
  <w:font w:name="Times New Roman">
    <w:charset w:val="01"/>
    <w:family w:val="roman"/>
    <w:pitch w:val="variable"/>
  </w:font>
  <w:font w:name="Arial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rFonts w:ascii="Arial Black" w:hAnsi="Arial Black"/>
        <w:sz w:val="16"/>
      </w:rPr>
    </w:pPr>
    <w:r>
      <w:rPr>
        <w:rFonts w:ascii="Arial Black" w:hAnsi="Arial Black"/>
        <w:sz w:val="16"/>
      </w:rPr>
      <w:t>Rua Salgado Filho, 79  - Três Passos-RS.-  CEP: 98600-000  Fone/Fax: (55) 3522 1210</w:t>
    </w:r>
  </w:p>
  <w:p>
    <w:pPr>
      <w:pStyle w:val="Rodap"/>
      <w:jc w:val="center"/>
      <w:rPr/>
    </w:pPr>
    <w:r>
      <w:rPr>
        <w:rFonts w:ascii="Arial Black" w:hAnsi="Arial Black"/>
        <w:sz w:val="16"/>
      </w:rPr>
      <w:t xml:space="preserve">E-mail: </w:t>
    </w:r>
    <w:hyperlink r:id="rId1">
      <w:r>
        <w:rPr>
          <w:rStyle w:val="Hyperlink1"/>
          <w:rFonts w:ascii="Arial Black" w:hAnsi="Arial Black"/>
          <w:color w:val="auto"/>
          <w:sz w:val="16"/>
          <w:u w:val="none"/>
        </w:rPr>
        <w:t>camara@trespassos.rs.leg.br</w:t>
      </w:r>
    </w:hyperlink>
    <w:r>
      <w:rPr>
        <w:rFonts w:ascii="Arial Black" w:hAnsi="Arial Black"/>
        <w:sz w:val="16"/>
      </w:rPr>
      <w:t xml:space="preserve">   Site: www.trespassos.rs.leg.br</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derodap"/>
        <w:rPr/>
      </w:pPr>
      <w:r>
        <w:rPr>
          <w:rStyle w:val="Caracteresdenotaderodap"/>
        </w:rPr>
        <w:footnoteRef/>
      </w:r>
      <w:r>
        <w:rPr>
          <w:rFonts w:cs="Calibri" w:ascii="Calibri" w:hAnsi="Calibri"/>
          <w:b w:val="false"/>
          <w:bCs/>
          <w:sz w:val="18"/>
          <w:szCs w:val="18"/>
        </w:rPr>
        <w:tab/>
        <w:t xml:space="preserve"> </w:t>
      </w:r>
      <w:r>
        <w:rPr>
          <w:rFonts w:cs="Calibri" w:ascii="Calibri" w:hAnsi="Calibri"/>
          <w:b w:val="false"/>
          <w:bCs/>
          <w:sz w:val="18"/>
          <w:szCs w:val="18"/>
        </w:rPr>
        <w:t xml:space="preserve">O Portal de Compras Públicas cobra os seguintes valores dos licitantes que utilizam suas funcionalidades: plano anual – R$ 79,08 (setenta e nove reais e oito centavos) por mês; plano semestral – R$ 91,50 (noventa e um reais e cinquenta centavos) por mês; ou plano mensal – R$ 129,00 (cento e vinte e nove reais) por mês.  Fonte: </w:t>
      </w:r>
      <w:hyperlink r:id="rId1">
        <w:r>
          <w:rPr>
            <w:rFonts w:cs="Calibri" w:ascii="Calibri" w:hAnsi="Calibri"/>
            <w:b w:val="false"/>
            <w:bCs/>
            <w:color w:val="0000FF"/>
            <w:sz w:val="18"/>
            <w:szCs w:val="18"/>
            <w:u w:val="single"/>
          </w:rPr>
          <w:t>https://www.portaldecompraspublicas.com.br/18/Adesao/Fornecedor/</w:t>
        </w:r>
      </w:hyperlink>
      <w:r>
        <w:rPr>
          <w:rFonts w:cs="Calibri" w:ascii="Calibri" w:hAnsi="Calibri"/>
          <w:b w:val="false"/>
          <w:bCs/>
          <w:sz w:val="18"/>
          <w:szCs w:val="18"/>
        </w:rPr>
        <w:t xml:space="preserve"> Acesso em 11.12.2020.</w:t>
      </w:r>
    </w:p>
  </w:footnote>
  <w:footnote w:id="3">
    <w:p>
      <w:pPr>
        <w:pStyle w:val="PEAalnea"/>
        <w:numPr>
          <w:ilvl w:val="0"/>
          <w:numId w:val="0"/>
        </w:numPr>
        <w:spacing w:lineRule="auto" w:line="240" w:before="80" w:after="80"/>
        <w:ind w:left="0" w:right="0" w:hanging="0"/>
        <w:rPr/>
      </w:pPr>
      <w:r>
        <w:rPr>
          <w:rStyle w:val="Caracteresdenotaderodap"/>
        </w:rPr>
        <w:footnoteRef/>
      </w:r>
      <w:r>
        <w:rPr>
          <w:rFonts w:cs="Calibri" w:ascii="Calibri" w:hAnsi="Calibri"/>
          <w:sz w:val="18"/>
          <w:szCs w:val="18"/>
        </w:rPr>
        <w:t xml:space="preserve"> </w:t>
      </w:r>
      <w:r>
        <w:rPr>
          <w:rFonts w:cs="Calibri" w:ascii="Calibri" w:hAnsi="Calibri"/>
          <w:spacing w:val="-6"/>
          <w:sz w:val="18"/>
          <w:szCs w:val="18"/>
        </w:rPr>
        <w:t>A União, por exemplo, instituiu que apenas a administração direta, as autarquias e as fundações estão obrigadas a utilizar o Portal de Compras do Governo Federal. As estatais, por exemplo, não estão obrigadas a utilizar o mencionado Portal, uma vez que não estão sujeitas à Lei nº 14.133/2021 [vide art. 1º, da norma]. Não existe, também, imposição legal para que estados, municípios e Distrito Federal, mesmo recebendo recursos federais, façam uso obrigatório do referido sistema. [vide art. 175, § 1º, da norma]</w:t>
      </w:r>
      <w:r>
        <w:rPr>
          <w:rStyle w:val="FootnoteCharacters"/>
          <w:rFonts w:cs="Calibri" w:ascii="Calibri" w:hAnsi="Calibri"/>
          <w:spacing w:val="-6"/>
          <w:sz w:val="18"/>
          <w:szCs w:val="18"/>
          <w:vertAlign w:val="superscript"/>
        </w:rPr>
        <w:t>.</w:t>
      </w:r>
      <w:r>
        <w:rPr>
          <w:rFonts w:cs="Calibri" w:ascii="Calibri" w:hAnsi="Calibri"/>
          <w:spacing w:val="-6"/>
          <w:sz w:val="18"/>
          <w:szCs w:val="18"/>
        </w:rPr>
        <w:t xml:space="preserve"> O Tribunal de Contas da União – TCU já se manifestou sobre os limites para utilização obrigatória do Portal de Compras do Governo Federal, por meio do Acórdão nº 1647/2010 – Plenário, mencionado que apenas a administração direta federal, autárquica e fundacional estão obrigados a utilizar o Portal Federal. </w:t>
      </w:r>
    </w:p>
    <w:p>
      <w:pPr>
        <w:pStyle w:val="Notaderodap"/>
        <w:rPr/>
      </w:pPr>
      <w:r>
        <w:rPr/>
      </w:r>
    </w:p>
  </w:footnote>
  <w:footnote w:id="4">
    <w:p>
      <w:pPr>
        <w:pStyle w:val="Notaderodap"/>
        <w:widowControl/>
        <w:suppressLineNumbers/>
        <w:suppressAutoHyphens w:val="true"/>
        <w:overflowPunct w:val="false"/>
        <w:bidi w:val="0"/>
        <w:spacing w:before="0" w:after="0"/>
        <w:ind w:left="0" w:right="0" w:hanging="0"/>
        <w:jc w:val="left"/>
        <w:rPr/>
      </w:pPr>
      <w:r>
        <w:rPr>
          <w:rStyle w:val="Caracteresdenotaderodap"/>
        </w:rPr>
        <w:footnoteRef/>
      </w:r>
      <w:r>
        <w:rPr>
          <w:rFonts w:cs="Calibri"/>
          <w:sz w:val="18"/>
          <w:szCs w:val="18"/>
        </w:rPr>
        <w:t xml:space="preserve"> </w:t>
      </w:r>
      <w:r>
        <w:rPr>
          <w:rFonts w:cs="Calibri"/>
          <w:sz w:val="18"/>
          <w:szCs w:val="18"/>
        </w:rPr>
        <w:t xml:space="preserve">O Licitações-e é gratuito? Não, mas o valor não se refere a tarifa. Trata-se de ressarcimento dos custos pela disponibilização dos recursos de tecnologia da informação e sua cobrança está amparada pelo Art. 5º da Lei nº 10.520/2002, custeando: cadastramento da empresa, cadastramento de representante, custo de processamento das transações realizadas na internet, atendimento prestado pela agência de relacionamento, atendimento prestado via suporte técnico, manutenção e desenvolvimento de sistema e investimento em equipamentos (servidores). Fonte: </w:t>
      </w:r>
      <w:hyperlink r:id="rId2">
        <w:r>
          <w:rPr>
            <w:rFonts w:cs="Calibri"/>
            <w:color w:val="0000FF"/>
            <w:sz w:val="18"/>
            <w:szCs w:val="18"/>
            <w:u w:val="single"/>
          </w:rPr>
          <w:t>https://www.licitacoes-e.com.br/aop/documentos/FAQ.pdf</w:t>
        </w:r>
      </w:hyperlink>
      <w:r>
        <w:rPr>
          <w:rFonts w:cs="Calibri"/>
          <w:sz w:val="18"/>
          <w:szCs w:val="18"/>
        </w:rPr>
        <w:t xml:space="preserve">  </w:t>
      </w:r>
    </w:p>
  </w:footnote>
  <w:footnote w:id="5">
    <w:p>
      <w:pPr>
        <w:pStyle w:val="Notaderodap"/>
        <w:rPr/>
      </w:pPr>
      <w:r>
        <w:rPr>
          <w:rStyle w:val="Caracteresdenotaderodap"/>
        </w:rPr>
        <w:footnoteRef/>
      </w:r>
      <w:r>
        <w:rPr>
          <w:rFonts w:cs="Calibri" w:ascii="Cambria" w:hAnsi="Cambria"/>
          <w:b w:val="false"/>
          <w:bCs/>
          <w:sz w:val="18"/>
          <w:szCs w:val="18"/>
        </w:rPr>
        <w:tab/>
        <w:t xml:space="preserve"> </w:t>
      </w:r>
      <w:r>
        <w:rPr>
          <w:rFonts w:cs="Calibri" w:ascii="Cambria" w:hAnsi="Cambria"/>
          <w:b w:val="false"/>
          <w:bCs/>
          <w:sz w:val="18"/>
          <w:szCs w:val="18"/>
        </w:rPr>
        <w:t xml:space="preserve">O Portal de Compras Públicas cobra os seguintes valores dos licitantes que utilizam suas funcionalidades: plano anual – R 92, 42 (noventa e dois reais e quarenta e dois centavos) por mês; plano semestral – R$ 105,50 (cento e cinco reais e cinquenta centavos) por mês; ou plano mensal – R$ 152,00 (cento e cinquenta e dois reais) por mês.  Fonte: </w:t>
      </w:r>
      <w:hyperlink r:id="rId3">
        <w:r>
          <w:rPr>
            <w:rFonts w:cs="Calibri" w:ascii="Cambria" w:hAnsi="Cambria"/>
            <w:b w:val="false"/>
            <w:bCs/>
            <w:color w:val="0000FF"/>
            <w:sz w:val="18"/>
            <w:szCs w:val="18"/>
            <w:u w:val="single"/>
          </w:rPr>
          <w:t>https://www.portaldecompraspublicas.com.br/adesao/fornecedor?utm_source=google-ads&amp;utm_medium=search&amp;utm_campaign=plano-pago&amp;gclid=Cj0KCQiApKagBhC1ARIsAFc7Mc5TMWR_R63JJ2OI99JX3SjZTzJObbGQW-h-JJwTK7K2USFnFtUxx4oaAtXEEALw_wcB</w:t>
        </w:r>
      </w:hyperlink>
      <w:r>
        <w:rPr>
          <w:rFonts w:cs="Calibri" w:ascii="Cambria" w:hAnsi="Cambria"/>
          <w:b w:val="false"/>
          <w:bCs/>
          <w:sz w:val="18"/>
          <w:szCs w:val="18"/>
        </w:rPr>
        <w:t xml:space="preserve"> - Acesso em 9.3.2023.</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28"/>
      <w:ind w:hanging="0"/>
      <w:jc w:val="center"/>
      <w:rPr>
        <w:sz w:val="28"/>
        <w:szCs w:val="28"/>
      </w:rPr>
    </w:pPr>
    <w:r>
      <w:drawing>
        <wp:anchor behindDoc="1" distT="0" distB="0" distL="0" distR="0" simplePos="0" locked="0" layoutInCell="0" allowOverlap="1" relativeHeight="18">
          <wp:simplePos x="0" y="0"/>
          <wp:positionH relativeFrom="column">
            <wp:posOffset>684530</wp:posOffset>
          </wp:positionH>
          <wp:positionV relativeFrom="paragraph">
            <wp:posOffset>-88900</wp:posOffset>
          </wp:positionV>
          <wp:extent cx="582295" cy="707390"/>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1"/>
                  <a:stretch>
                    <a:fillRect/>
                  </a:stretch>
                </pic:blipFill>
                <pic:spPr bwMode="auto">
                  <a:xfrm>
                    <a:off x="0" y="0"/>
                    <a:ext cx="582295" cy="707390"/>
                  </a:xfrm>
                  <a:prstGeom prst="rect">
                    <a:avLst/>
                  </a:prstGeom>
                </pic:spPr>
              </pic:pic>
            </a:graphicData>
          </a:graphic>
        </wp:anchor>
      </w:drawing>
    </w:r>
    <w:r>
      <w:rPr>
        <w:w w:val="90"/>
        <w:sz w:val="28"/>
        <w:szCs w:val="28"/>
      </w:rPr>
      <w:t>Câmara</w:t>
    </w:r>
    <w:r>
      <w:rPr>
        <w:spacing w:val="-45"/>
        <w:w w:val="90"/>
        <w:sz w:val="28"/>
        <w:szCs w:val="28"/>
      </w:rPr>
      <w:t xml:space="preserve"> </w:t>
    </w:r>
    <w:r>
      <w:rPr>
        <w:w w:val="90"/>
        <w:sz w:val="28"/>
        <w:szCs w:val="28"/>
      </w:rPr>
      <w:t>Municipal</w:t>
    </w:r>
    <w:r>
      <w:rPr>
        <w:spacing w:val="-44"/>
        <w:w w:val="90"/>
        <w:sz w:val="28"/>
        <w:szCs w:val="28"/>
      </w:rPr>
      <w:t xml:space="preserve"> </w:t>
    </w:r>
    <w:r>
      <w:rPr>
        <w:w w:val="90"/>
        <w:sz w:val="28"/>
        <w:szCs w:val="28"/>
      </w:rPr>
      <w:t>de</w:t>
    </w:r>
    <w:r>
      <w:rPr>
        <w:spacing w:val="-44"/>
        <w:w w:val="90"/>
        <w:sz w:val="28"/>
        <w:szCs w:val="28"/>
      </w:rPr>
      <w:t xml:space="preserve"> </w:t>
    </w:r>
    <w:r>
      <w:rPr>
        <w:w w:val="90"/>
        <w:sz w:val="28"/>
        <w:szCs w:val="28"/>
      </w:rPr>
      <w:t>Três</w:t>
    </w:r>
    <w:r>
      <w:rPr>
        <w:spacing w:val="-45"/>
        <w:w w:val="90"/>
        <w:sz w:val="28"/>
        <w:szCs w:val="28"/>
      </w:rPr>
      <w:t xml:space="preserve"> </w:t>
    </w:r>
    <w:r>
      <w:rPr>
        <w:spacing w:val="-3"/>
        <w:w w:val="90"/>
        <w:sz w:val="28"/>
        <w:szCs w:val="28"/>
      </w:rPr>
      <w:t xml:space="preserve">Passos </w:t>
    </w:r>
  </w:p>
  <w:p>
    <w:pPr>
      <w:pStyle w:val="Normal"/>
      <w:spacing w:lineRule="auto" w:line="228"/>
      <w:ind w:hanging="0"/>
      <w:jc w:val="center"/>
      <w:rPr>
        <w:sz w:val="28"/>
        <w:szCs w:val="28"/>
      </w:rPr>
    </w:pPr>
    <w:r>
      <w:rPr/>
      <w:t xml:space="preserve">Estado do Rio Grande do Sul </w:t>
    </w:r>
  </w:p>
  <w:p>
    <w:pPr>
      <w:pStyle w:val="Normal"/>
      <w:spacing w:lineRule="auto" w:line="228"/>
      <w:ind w:right="2246" w:hanging="0"/>
      <w:jc w:val="center"/>
      <w:rPr/>
    </w:pPr>
    <w:r>
      <w:rPr>
        <w:b/>
        <w:bCs/>
        <w:w w:val="95"/>
      </w:rPr>
      <w:t xml:space="preserve">                                          </w:t>
    </w:r>
    <w:r>
      <w:rPr>
        <w:b/>
        <w:bCs/>
        <w:w w:val="95"/>
      </w:rPr>
      <w:t>Poder</w:t>
    </w:r>
    <w:r>
      <w:rPr>
        <w:b/>
        <w:bCs/>
        <w:spacing w:val="-48"/>
        <w:w w:val="95"/>
      </w:rPr>
      <w:t xml:space="preserve"> </w:t>
    </w:r>
    <w:r>
      <w:rPr>
        <w:b/>
        <w:bCs/>
        <w:w w:val="95"/>
      </w:rPr>
      <w:t>Legislativo</w:t>
    </w:r>
    <w:r>
      <w:rPr>
        <w:b/>
        <w:bCs/>
        <w:spacing w:val="-48"/>
        <w:w w:val="95"/>
      </w:rPr>
      <w:t xml:space="preserve"> </w:t>
    </w:r>
    <w:r>
      <w:rPr>
        <w:b/>
        <w:bCs/>
        <w:w w:val="95"/>
      </w:rPr>
      <w:t>Municipal</w:t>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0"/>
        </w:tabs>
        <w:ind w:left="450" w:hanging="45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smallCaps w:val="false"/>
        <w:caps w:val="false"/>
        <w:dstrike w:val="false"/>
        <w:strike w:val="false"/>
        <w:vertAlign w:val="baseline"/>
        <w:position w:val="0"/>
        <w:sz w:val="22"/>
        <w:sz w:val="22"/>
        <w:spacing w:val="0"/>
        <w:i w:val="false"/>
        <w:u w:val="none"/>
        <w:b w:val="false"/>
        <w:kern w:val="0"/>
        <w:effect w:val="none"/>
        <w:iCs w:val="false"/>
        <w:bCs w:val="false"/>
        <w:em w:val="none"/>
        <w:vanish w:val="false"/>
        <w:color w:val="000000"/>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960" w:hanging="180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5040" w:hanging="2160"/>
      </w:pPr>
      <w:rPr/>
    </w:lvl>
  </w:abstractNum>
  <w:abstractNum w:abstractNumId="2">
    <w:lvl w:ilvl="0">
      <w:start w:val="1"/>
      <w:numFmt w:val="lowerLetter"/>
      <w:lvlText w:val="%1)"/>
      <w:lvlJc w:val="left"/>
      <w:pPr>
        <w:tabs>
          <w:tab w:val="num" w:pos="0"/>
        </w:tabs>
        <w:ind w:left="927" w:hanging="360"/>
      </w:pPr>
      <w:rPr>
        <w:sz w:val="28"/>
        <w:i w:val="false"/>
        <w:b/>
        <w:szCs w:val="28"/>
        <w:bCs/>
        <w:color w:val="auto"/>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3">
    <w:lvl w:ilvl="0">
      <w:start w:val="1"/>
      <w:numFmt w:val="decimal"/>
      <w:lvlText w:val="%1."/>
      <w:lvlJc w:val="left"/>
      <w:pPr>
        <w:tabs>
          <w:tab w:val="num" w:pos="0"/>
        </w:tabs>
        <w:ind w:left="720" w:hanging="36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3711" w:hanging="2010"/>
      </w:pPr>
      <w:rPr/>
    </w:lvl>
    <w:lvl w:ilvl="1">
      <w:start w:val="1"/>
      <w:numFmt w:val="lowerLetter"/>
      <w:lvlText w:val="%2."/>
      <w:lvlJc w:val="left"/>
      <w:pPr>
        <w:tabs>
          <w:tab w:val="num" w:pos="0"/>
        </w:tabs>
        <w:ind w:left="2781" w:hanging="360"/>
      </w:pPr>
      <w:rPr/>
    </w:lvl>
    <w:lvl w:ilvl="2">
      <w:start w:val="1"/>
      <w:numFmt w:val="lowerRoman"/>
      <w:lvlText w:val="%3."/>
      <w:lvlJc w:val="right"/>
      <w:pPr>
        <w:tabs>
          <w:tab w:val="num" w:pos="0"/>
        </w:tabs>
        <w:ind w:left="3501" w:hanging="180"/>
      </w:pPr>
      <w:rPr/>
    </w:lvl>
    <w:lvl w:ilvl="3">
      <w:start w:val="1"/>
      <w:numFmt w:val="decimal"/>
      <w:lvlText w:val="%4."/>
      <w:lvlJc w:val="left"/>
      <w:pPr>
        <w:tabs>
          <w:tab w:val="num" w:pos="0"/>
        </w:tabs>
        <w:ind w:left="4221" w:hanging="360"/>
      </w:pPr>
      <w:rPr/>
    </w:lvl>
    <w:lvl w:ilvl="4">
      <w:start w:val="1"/>
      <w:numFmt w:val="lowerLetter"/>
      <w:lvlText w:val="%5."/>
      <w:lvlJc w:val="left"/>
      <w:pPr>
        <w:tabs>
          <w:tab w:val="num" w:pos="0"/>
        </w:tabs>
        <w:ind w:left="4941" w:hanging="360"/>
      </w:pPr>
      <w:rPr/>
    </w:lvl>
    <w:lvl w:ilvl="5">
      <w:start w:val="1"/>
      <w:numFmt w:val="lowerRoman"/>
      <w:lvlText w:val="%6."/>
      <w:lvlJc w:val="right"/>
      <w:pPr>
        <w:tabs>
          <w:tab w:val="num" w:pos="0"/>
        </w:tabs>
        <w:ind w:left="5661" w:hanging="180"/>
      </w:pPr>
      <w:rPr/>
    </w:lvl>
    <w:lvl w:ilvl="6">
      <w:start w:val="1"/>
      <w:numFmt w:val="decimal"/>
      <w:lvlText w:val="%7."/>
      <w:lvlJc w:val="left"/>
      <w:pPr>
        <w:tabs>
          <w:tab w:val="num" w:pos="0"/>
        </w:tabs>
        <w:ind w:left="6381" w:hanging="360"/>
      </w:pPr>
      <w:rPr/>
    </w:lvl>
    <w:lvl w:ilvl="7">
      <w:start w:val="1"/>
      <w:numFmt w:val="lowerLetter"/>
      <w:lvlText w:val="%8."/>
      <w:lvlJc w:val="left"/>
      <w:pPr>
        <w:tabs>
          <w:tab w:val="num" w:pos="0"/>
        </w:tabs>
        <w:ind w:left="7101" w:hanging="360"/>
      </w:pPr>
      <w:rPr/>
    </w:lvl>
    <w:lvl w:ilvl="8">
      <w:start w:val="1"/>
      <w:numFmt w:val="lowerRoman"/>
      <w:lvlText w:val="%9."/>
      <w:lvlJc w:val="right"/>
      <w:pPr>
        <w:tabs>
          <w:tab w:val="num" w:pos="0"/>
        </w:tabs>
        <w:ind w:left="7821" w:hanging="180"/>
      </w:pPr>
      <w:rPr/>
    </w:lvl>
  </w:abstractNum>
  <w:abstractNum w:abstractNumId="7">
    <w:lvl w:ilvl="0">
      <w:start w:val="1"/>
      <w:numFmt w:val="lowerLetter"/>
      <w:lvlText w:val="%1)"/>
      <w:lvlJc w:val="left"/>
      <w:pPr>
        <w:tabs>
          <w:tab w:val="num" w:pos="0"/>
        </w:tabs>
        <w:ind w:left="3681" w:hanging="1980"/>
      </w:pPr>
      <w:rPr/>
    </w:lvl>
    <w:lvl w:ilvl="1">
      <w:start w:val="1"/>
      <w:numFmt w:val="lowerLetter"/>
      <w:lvlText w:val="%2."/>
      <w:lvlJc w:val="left"/>
      <w:pPr>
        <w:tabs>
          <w:tab w:val="num" w:pos="0"/>
        </w:tabs>
        <w:ind w:left="2781" w:hanging="360"/>
      </w:pPr>
      <w:rPr/>
    </w:lvl>
    <w:lvl w:ilvl="2">
      <w:start w:val="1"/>
      <w:numFmt w:val="lowerRoman"/>
      <w:lvlText w:val="%3."/>
      <w:lvlJc w:val="right"/>
      <w:pPr>
        <w:tabs>
          <w:tab w:val="num" w:pos="0"/>
        </w:tabs>
        <w:ind w:left="3501" w:hanging="180"/>
      </w:pPr>
      <w:rPr/>
    </w:lvl>
    <w:lvl w:ilvl="3">
      <w:start w:val="1"/>
      <w:numFmt w:val="decimal"/>
      <w:lvlText w:val="%4."/>
      <w:lvlJc w:val="left"/>
      <w:pPr>
        <w:tabs>
          <w:tab w:val="num" w:pos="0"/>
        </w:tabs>
        <w:ind w:left="4221" w:hanging="360"/>
      </w:pPr>
      <w:rPr/>
    </w:lvl>
    <w:lvl w:ilvl="4">
      <w:start w:val="1"/>
      <w:numFmt w:val="lowerLetter"/>
      <w:lvlText w:val="%5."/>
      <w:lvlJc w:val="left"/>
      <w:pPr>
        <w:tabs>
          <w:tab w:val="num" w:pos="0"/>
        </w:tabs>
        <w:ind w:left="4941" w:hanging="360"/>
      </w:pPr>
      <w:rPr/>
    </w:lvl>
    <w:lvl w:ilvl="5">
      <w:start w:val="1"/>
      <w:numFmt w:val="lowerRoman"/>
      <w:lvlText w:val="%6."/>
      <w:lvlJc w:val="right"/>
      <w:pPr>
        <w:tabs>
          <w:tab w:val="num" w:pos="0"/>
        </w:tabs>
        <w:ind w:left="5661" w:hanging="180"/>
      </w:pPr>
      <w:rPr/>
    </w:lvl>
    <w:lvl w:ilvl="6">
      <w:start w:val="1"/>
      <w:numFmt w:val="decimal"/>
      <w:lvlText w:val="%7."/>
      <w:lvlJc w:val="left"/>
      <w:pPr>
        <w:tabs>
          <w:tab w:val="num" w:pos="0"/>
        </w:tabs>
        <w:ind w:left="6381" w:hanging="360"/>
      </w:pPr>
      <w:rPr/>
    </w:lvl>
    <w:lvl w:ilvl="7">
      <w:start w:val="1"/>
      <w:numFmt w:val="lowerLetter"/>
      <w:lvlText w:val="%8."/>
      <w:lvlJc w:val="left"/>
      <w:pPr>
        <w:tabs>
          <w:tab w:val="num" w:pos="0"/>
        </w:tabs>
        <w:ind w:left="7101" w:hanging="360"/>
      </w:pPr>
      <w:rPr/>
    </w:lvl>
    <w:lvl w:ilvl="8">
      <w:start w:val="1"/>
      <w:numFmt w:val="lowerRoman"/>
      <w:lvlText w:val="%9."/>
      <w:lvlJc w:val="right"/>
      <w:pPr>
        <w:tabs>
          <w:tab w:val="num" w:pos="0"/>
        </w:tabs>
        <w:ind w:left="7821" w:hanging="180"/>
      </w:pPr>
      <w:rPr/>
    </w:lvl>
  </w:abstractNum>
  <w:abstractNum w:abstractNumId="8">
    <w:lvl w:ilvl="0">
      <w:start w:val="1"/>
      <w:numFmt w:val="lowerLetter"/>
      <w:lvlText w:val="%1)"/>
      <w:lvlJc w:val="left"/>
      <w:pPr>
        <w:tabs>
          <w:tab w:val="num" w:pos="0"/>
        </w:tabs>
        <w:ind w:left="3756" w:hanging="2055"/>
      </w:pPr>
      <w:rPr>
        <w:b w:val="false"/>
      </w:rPr>
    </w:lvl>
    <w:lvl w:ilvl="1">
      <w:start w:val="1"/>
      <w:numFmt w:val="lowerLetter"/>
      <w:lvlText w:val="%2."/>
      <w:lvlJc w:val="left"/>
      <w:pPr>
        <w:tabs>
          <w:tab w:val="num" w:pos="0"/>
        </w:tabs>
        <w:ind w:left="2781" w:hanging="360"/>
      </w:pPr>
      <w:rPr/>
    </w:lvl>
    <w:lvl w:ilvl="2">
      <w:start w:val="1"/>
      <w:numFmt w:val="lowerRoman"/>
      <w:lvlText w:val="%3."/>
      <w:lvlJc w:val="right"/>
      <w:pPr>
        <w:tabs>
          <w:tab w:val="num" w:pos="0"/>
        </w:tabs>
        <w:ind w:left="3501" w:hanging="180"/>
      </w:pPr>
      <w:rPr/>
    </w:lvl>
    <w:lvl w:ilvl="3">
      <w:start w:val="1"/>
      <w:numFmt w:val="decimal"/>
      <w:lvlText w:val="%4."/>
      <w:lvlJc w:val="left"/>
      <w:pPr>
        <w:tabs>
          <w:tab w:val="num" w:pos="0"/>
        </w:tabs>
        <w:ind w:left="4221" w:hanging="360"/>
      </w:pPr>
      <w:rPr/>
    </w:lvl>
    <w:lvl w:ilvl="4">
      <w:start w:val="1"/>
      <w:numFmt w:val="lowerLetter"/>
      <w:lvlText w:val="%5."/>
      <w:lvlJc w:val="left"/>
      <w:pPr>
        <w:tabs>
          <w:tab w:val="num" w:pos="0"/>
        </w:tabs>
        <w:ind w:left="4941" w:hanging="360"/>
      </w:pPr>
      <w:rPr/>
    </w:lvl>
    <w:lvl w:ilvl="5">
      <w:start w:val="1"/>
      <w:numFmt w:val="lowerRoman"/>
      <w:lvlText w:val="%6."/>
      <w:lvlJc w:val="right"/>
      <w:pPr>
        <w:tabs>
          <w:tab w:val="num" w:pos="0"/>
        </w:tabs>
        <w:ind w:left="5661" w:hanging="180"/>
      </w:pPr>
      <w:rPr/>
    </w:lvl>
    <w:lvl w:ilvl="6">
      <w:start w:val="1"/>
      <w:numFmt w:val="decimal"/>
      <w:lvlText w:val="%7."/>
      <w:lvlJc w:val="left"/>
      <w:pPr>
        <w:tabs>
          <w:tab w:val="num" w:pos="0"/>
        </w:tabs>
        <w:ind w:left="6381" w:hanging="360"/>
      </w:pPr>
      <w:rPr/>
    </w:lvl>
    <w:lvl w:ilvl="7">
      <w:start w:val="1"/>
      <w:numFmt w:val="lowerLetter"/>
      <w:lvlText w:val="%8."/>
      <w:lvlJc w:val="left"/>
      <w:pPr>
        <w:tabs>
          <w:tab w:val="num" w:pos="0"/>
        </w:tabs>
        <w:ind w:left="7101" w:hanging="360"/>
      </w:pPr>
      <w:rPr/>
    </w:lvl>
    <w:lvl w:ilvl="8">
      <w:start w:val="1"/>
      <w:numFmt w:val="lowerRoman"/>
      <w:lvlText w:val="%9."/>
      <w:lvlJc w:val="right"/>
      <w:pPr>
        <w:tabs>
          <w:tab w:val="num" w:pos="0"/>
        </w:tabs>
        <w:ind w:left="7821" w:hanging="180"/>
      </w:pPr>
      <w:rPr/>
    </w:lvl>
  </w:abstractNum>
  <w:abstractNum w:abstractNumId="9">
    <w:lvl w:ilvl="0">
      <w:start w:val="1"/>
      <w:numFmt w:val="lowerLetter"/>
      <w:lvlText w:val="%1)"/>
      <w:lvlJc w:val="left"/>
      <w:pPr>
        <w:tabs>
          <w:tab w:val="num" w:pos="0"/>
        </w:tabs>
        <w:ind w:left="3756" w:hanging="2055"/>
      </w:pPr>
      <w:rPr>
        <w:sz w:val="22"/>
        <w:b w:val="false"/>
        <w:szCs w:val="22"/>
        <w:bCs/>
      </w:rPr>
    </w:lvl>
    <w:lvl w:ilvl="1">
      <w:start w:val="1"/>
      <w:numFmt w:val="lowerLetter"/>
      <w:lvlText w:val="%2."/>
      <w:lvlJc w:val="left"/>
      <w:pPr>
        <w:tabs>
          <w:tab w:val="num" w:pos="0"/>
        </w:tabs>
        <w:ind w:left="2781" w:hanging="360"/>
      </w:pPr>
      <w:rPr/>
    </w:lvl>
    <w:lvl w:ilvl="2">
      <w:start w:val="1"/>
      <w:numFmt w:val="lowerRoman"/>
      <w:lvlText w:val="%3."/>
      <w:lvlJc w:val="right"/>
      <w:pPr>
        <w:tabs>
          <w:tab w:val="num" w:pos="0"/>
        </w:tabs>
        <w:ind w:left="3501" w:hanging="180"/>
      </w:pPr>
      <w:rPr/>
    </w:lvl>
    <w:lvl w:ilvl="3">
      <w:start w:val="1"/>
      <w:numFmt w:val="decimal"/>
      <w:lvlText w:val="%4."/>
      <w:lvlJc w:val="left"/>
      <w:pPr>
        <w:tabs>
          <w:tab w:val="num" w:pos="0"/>
        </w:tabs>
        <w:ind w:left="4221" w:hanging="360"/>
      </w:pPr>
      <w:rPr/>
    </w:lvl>
    <w:lvl w:ilvl="4">
      <w:start w:val="1"/>
      <w:numFmt w:val="lowerLetter"/>
      <w:lvlText w:val="%5."/>
      <w:lvlJc w:val="left"/>
      <w:pPr>
        <w:tabs>
          <w:tab w:val="num" w:pos="0"/>
        </w:tabs>
        <w:ind w:left="4941" w:hanging="360"/>
      </w:pPr>
      <w:rPr/>
    </w:lvl>
    <w:lvl w:ilvl="5">
      <w:start w:val="1"/>
      <w:numFmt w:val="lowerRoman"/>
      <w:lvlText w:val="%6."/>
      <w:lvlJc w:val="right"/>
      <w:pPr>
        <w:tabs>
          <w:tab w:val="num" w:pos="0"/>
        </w:tabs>
        <w:ind w:left="5661" w:hanging="180"/>
      </w:pPr>
      <w:rPr/>
    </w:lvl>
    <w:lvl w:ilvl="6">
      <w:start w:val="1"/>
      <w:numFmt w:val="decimal"/>
      <w:lvlText w:val="%7."/>
      <w:lvlJc w:val="left"/>
      <w:pPr>
        <w:tabs>
          <w:tab w:val="num" w:pos="0"/>
        </w:tabs>
        <w:ind w:left="6381" w:hanging="360"/>
      </w:pPr>
      <w:rPr/>
    </w:lvl>
    <w:lvl w:ilvl="7">
      <w:start w:val="1"/>
      <w:numFmt w:val="lowerLetter"/>
      <w:lvlText w:val="%8."/>
      <w:lvlJc w:val="left"/>
      <w:pPr>
        <w:tabs>
          <w:tab w:val="num" w:pos="0"/>
        </w:tabs>
        <w:ind w:left="7101" w:hanging="360"/>
      </w:pPr>
      <w:rPr/>
    </w:lvl>
    <w:lvl w:ilvl="8">
      <w:start w:val="1"/>
      <w:numFmt w:val="lowerRoman"/>
      <w:lvlText w:val="%9."/>
      <w:lvlJc w:val="right"/>
      <w:pPr>
        <w:tabs>
          <w:tab w:val="num" w:pos="0"/>
        </w:tabs>
        <w:ind w:left="7821" w:hanging="180"/>
      </w:pPr>
      <w:rPr/>
    </w:lvl>
  </w:abstractNum>
  <w:abstractNum w:abstractNumId="1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2421" w:hanging="360"/>
      </w:pPr>
      <w:rPr/>
    </w:lvl>
    <w:lvl w:ilvl="1">
      <w:start w:val="1"/>
      <w:numFmt w:val="lowerLetter"/>
      <w:lvlText w:val="%2."/>
      <w:lvlJc w:val="left"/>
      <w:pPr>
        <w:tabs>
          <w:tab w:val="num" w:pos="0"/>
        </w:tabs>
        <w:ind w:left="3141" w:hanging="360"/>
      </w:pPr>
      <w:rPr/>
    </w:lvl>
    <w:lvl w:ilvl="2">
      <w:start w:val="1"/>
      <w:numFmt w:val="lowerRoman"/>
      <w:lvlText w:val="%3."/>
      <w:lvlJc w:val="right"/>
      <w:pPr>
        <w:tabs>
          <w:tab w:val="num" w:pos="0"/>
        </w:tabs>
        <w:ind w:left="3861" w:hanging="180"/>
      </w:pPr>
      <w:rPr/>
    </w:lvl>
    <w:lvl w:ilvl="3">
      <w:start w:val="1"/>
      <w:numFmt w:val="decimal"/>
      <w:lvlText w:val="%4."/>
      <w:lvlJc w:val="left"/>
      <w:pPr>
        <w:tabs>
          <w:tab w:val="num" w:pos="0"/>
        </w:tabs>
        <w:ind w:left="4581" w:hanging="360"/>
      </w:pPr>
      <w:rPr/>
    </w:lvl>
    <w:lvl w:ilvl="4">
      <w:start w:val="1"/>
      <w:numFmt w:val="lowerLetter"/>
      <w:lvlText w:val="%5."/>
      <w:lvlJc w:val="left"/>
      <w:pPr>
        <w:tabs>
          <w:tab w:val="num" w:pos="0"/>
        </w:tabs>
        <w:ind w:left="5301" w:hanging="360"/>
      </w:pPr>
      <w:rPr/>
    </w:lvl>
    <w:lvl w:ilvl="5">
      <w:start w:val="1"/>
      <w:numFmt w:val="lowerRoman"/>
      <w:lvlText w:val="%6."/>
      <w:lvlJc w:val="right"/>
      <w:pPr>
        <w:tabs>
          <w:tab w:val="num" w:pos="0"/>
        </w:tabs>
        <w:ind w:left="6021" w:hanging="180"/>
      </w:pPr>
      <w:rPr/>
    </w:lvl>
    <w:lvl w:ilvl="6">
      <w:start w:val="1"/>
      <w:numFmt w:val="decimal"/>
      <w:lvlText w:val="%7."/>
      <w:lvlJc w:val="left"/>
      <w:pPr>
        <w:tabs>
          <w:tab w:val="num" w:pos="0"/>
        </w:tabs>
        <w:ind w:left="6741" w:hanging="360"/>
      </w:pPr>
      <w:rPr/>
    </w:lvl>
    <w:lvl w:ilvl="7">
      <w:start w:val="1"/>
      <w:numFmt w:val="lowerLetter"/>
      <w:lvlText w:val="%8."/>
      <w:lvlJc w:val="left"/>
      <w:pPr>
        <w:tabs>
          <w:tab w:val="num" w:pos="0"/>
        </w:tabs>
        <w:ind w:left="7461" w:hanging="360"/>
      </w:pPr>
      <w:rPr/>
    </w:lvl>
    <w:lvl w:ilvl="8">
      <w:start w:val="1"/>
      <w:numFmt w:val="lowerRoman"/>
      <w:lvlText w:val="%9."/>
      <w:lvlJc w:val="right"/>
      <w:pPr>
        <w:tabs>
          <w:tab w:val="num" w:pos="0"/>
        </w:tabs>
        <w:ind w:left="8181" w:hanging="180"/>
      </w:pPr>
      <w:rPr/>
    </w:lvl>
  </w:abstractNum>
  <w:abstractNum w:abstractNumId="14">
    <w:lvl w:ilvl="0">
      <w:start w:val="1"/>
      <w:numFmt w:val="lowerLetter"/>
      <w:lvlText w:val="%1)"/>
      <w:lvlJc w:val="left"/>
      <w:pPr>
        <w:tabs>
          <w:tab w:val="num" w:pos="0"/>
        </w:tabs>
        <w:ind w:left="2421" w:hanging="360"/>
      </w:pPr>
      <w:rPr/>
    </w:lvl>
    <w:lvl w:ilvl="1">
      <w:start w:val="1"/>
      <w:numFmt w:val="lowerLetter"/>
      <w:lvlText w:val="%2."/>
      <w:lvlJc w:val="left"/>
      <w:pPr>
        <w:tabs>
          <w:tab w:val="num" w:pos="0"/>
        </w:tabs>
        <w:ind w:left="3141" w:hanging="360"/>
      </w:pPr>
      <w:rPr/>
    </w:lvl>
    <w:lvl w:ilvl="2">
      <w:start w:val="1"/>
      <w:numFmt w:val="lowerRoman"/>
      <w:lvlText w:val="%3."/>
      <w:lvlJc w:val="right"/>
      <w:pPr>
        <w:tabs>
          <w:tab w:val="num" w:pos="0"/>
        </w:tabs>
        <w:ind w:left="3861" w:hanging="180"/>
      </w:pPr>
      <w:rPr/>
    </w:lvl>
    <w:lvl w:ilvl="3">
      <w:start w:val="1"/>
      <w:numFmt w:val="decimal"/>
      <w:lvlText w:val="%4."/>
      <w:lvlJc w:val="left"/>
      <w:pPr>
        <w:tabs>
          <w:tab w:val="num" w:pos="0"/>
        </w:tabs>
        <w:ind w:left="4581" w:hanging="360"/>
      </w:pPr>
      <w:rPr/>
    </w:lvl>
    <w:lvl w:ilvl="4">
      <w:start w:val="1"/>
      <w:numFmt w:val="lowerLetter"/>
      <w:lvlText w:val="%5."/>
      <w:lvlJc w:val="left"/>
      <w:pPr>
        <w:tabs>
          <w:tab w:val="num" w:pos="0"/>
        </w:tabs>
        <w:ind w:left="5301" w:hanging="360"/>
      </w:pPr>
      <w:rPr/>
    </w:lvl>
    <w:lvl w:ilvl="5">
      <w:start w:val="1"/>
      <w:numFmt w:val="lowerRoman"/>
      <w:lvlText w:val="%6."/>
      <w:lvlJc w:val="right"/>
      <w:pPr>
        <w:tabs>
          <w:tab w:val="num" w:pos="0"/>
        </w:tabs>
        <w:ind w:left="6021" w:hanging="180"/>
      </w:pPr>
      <w:rPr/>
    </w:lvl>
    <w:lvl w:ilvl="6">
      <w:start w:val="1"/>
      <w:numFmt w:val="decimal"/>
      <w:lvlText w:val="%7."/>
      <w:lvlJc w:val="left"/>
      <w:pPr>
        <w:tabs>
          <w:tab w:val="num" w:pos="0"/>
        </w:tabs>
        <w:ind w:left="6741" w:hanging="360"/>
      </w:pPr>
      <w:rPr/>
    </w:lvl>
    <w:lvl w:ilvl="7">
      <w:start w:val="1"/>
      <w:numFmt w:val="lowerLetter"/>
      <w:lvlText w:val="%8."/>
      <w:lvlJc w:val="left"/>
      <w:pPr>
        <w:tabs>
          <w:tab w:val="num" w:pos="0"/>
        </w:tabs>
        <w:ind w:left="7461" w:hanging="360"/>
      </w:pPr>
      <w:rPr/>
    </w:lvl>
    <w:lvl w:ilvl="8">
      <w:start w:val="1"/>
      <w:numFmt w:val="lowerRoman"/>
      <w:lvlText w:val="%9."/>
      <w:lvlJc w:val="right"/>
      <w:pPr>
        <w:tabs>
          <w:tab w:val="num" w:pos="0"/>
        </w:tabs>
        <w:ind w:left="8181" w:hanging="180"/>
      </w:pPr>
      <w:rPr/>
    </w:lvl>
  </w:abstractNum>
  <w:abstractNum w:abstractNumId="15">
    <w:lvl w:ilvl="0">
      <w:start w:val="3"/>
      <w:numFmt w:val="decimal"/>
      <w:lvlText w:val="%1"/>
      <w:lvlJc w:val="left"/>
      <w:pPr>
        <w:tabs>
          <w:tab w:val="num" w:pos="0"/>
        </w:tabs>
        <w:ind w:left="720" w:hanging="360"/>
      </w:pPr>
      <w:rPr>
        <w:b w:val="false"/>
        <w:rFonts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lowerLetter"/>
      <w:lvlText w:val="%1)"/>
      <w:lvlJc w:val="left"/>
      <w:pPr>
        <w:tabs>
          <w:tab w:val="num" w:pos="0"/>
        </w:tabs>
        <w:ind w:left="4472"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embedSystemFonts/>
  <w:defaultTabStop w:val="709"/>
  <w:autoHyphenation w:val="true"/>
  <w:hyphenationZone w:val="425"/>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pt-BR" w:eastAsia="zh-CN" w:bidi="hi-IN"/>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1bfe"/>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qFormat/>
    <w:pPr>
      <w:keepNext w:val="true"/>
      <w:ind w:left="-180" w:hanging="0"/>
      <w:outlineLvl w:val="0"/>
    </w:pPr>
    <w:rPr>
      <w:sz w:val="28"/>
    </w:rPr>
  </w:style>
  <w:style w:type="paragraph" w:styleId="Ttulo2">
    <w:name w:val="Heading 2"/>
    <w:basedOn w:val="Normal"/>
    <w:next w:val="Normal"/>
    <w:qFormat/>
    <w:pPr>
      <w:keepNext w:val="true"/>
      <w:ind w:left="-180" w:hanging="0"/>
      <w:jc w:val="center"/>
      <w:outlineLvl w:val="1"/>
    </w:pPr>
    <w:rPr>
      <w:sz w:val="28"/>
    </w:rPr>
  </w:style>
  <w:style w:type="paragraph" w:styleId="Ttulo3">
    <w:name w:val="Heading 3"/>
    <w:basedOn w:val="Normal"/>
    <w:next w:val="Normal"/>
    <w:qFormat/>
    <w:pPr>
      <w:keepNext w:val="true"/>
      <w:spacing w:lineRule="auto" w:line="360"/>
      <w:jc w:val="both"/>
      <w:outlineLvl w:val="2"/>
    </w:pPr>
    <w:rPr>
      <w:rFonts w:ascii="Arial" w:hAnsi="Arial" w:cs="Arial"/>
      <w:u w:val="single"/>
    </w:rPr>
  </w:style>
  <w:style w:type="paragraph" w:styleId="Ttulo4">
    <w:name w:val="Heading 4"/>
    <w:basedOn w:val="Normal"/>
    <w:next w:val="Normal"/>
    <w:qFormat/>
    <w:pPr>
      <w:keepNext w:val="true"/>
      <w:spacing w:lineRule="auto" w:line="360"/>
      <w:ind w:left="-180" w:hanging="0"/>
      <w:jc w:val="both"/>
      <w:outlineLvl w:val="3"/>
    </w:pPr>
    <w:rPr>
      <w:rFonts w:ascii="Arial" w:hAnsi="Arial" w:cs="Arial"/>
      <w:u w:val="single"/>
    </w:rPr>
  </w:style>
  <w:style w:type="paragraph" w:styleId="Ttulo5">
    <w:name w:val="Heading 5"/>
    <w:basedOn w:val="Normal"/>
    <w:next w:val="Normal"/>
    <w:qFormat/>
    <w:pPr>
      <w:keepNext w:val="true"/>
      <w:jc w:val="both"/>
      <w:outlineLvl w:val="4"/>
    </w:pPr>
    <w:rPr>
      <w:rFonts w:ascii="Arial" w:hAnsi="Arial" w:cs="Arial"/>
      <w:b/>
      <w:bCs/>
    </w:rPr>
  </w:style>
  <w:style w:type="paragraph" w:styleId="Ttulo6">
    <w:name w:val="Heading 6"/>
    <w:basedOn w:val="Normal"/>
    <w:next w:val="Normal"/>
    <w:qFormat/>
    <w:pPr>
      <w:spacing w:before="240" w:after="60"/>
      <w:outlineLvl w:val="5"/>
    </w:pPr>
    <w:rPr>
      <w:rFonts w:ascii="Calibri" w:hAnsi="Calibri" w:cs="Calibri"/>
      <w:b/>
      <w:bCs/>
    </w:rPr>
  </w:style>
  <w:style w:type="paragraph" w:styleId="Ttulo7">
    <w:name w:val="Heading 7"/>
    <w:basedOn w:val="Normal"/>
    <w:next w:val="Normal"/>
    <w:qFormat/>
    <w:pPr>
      <w:keepNext w:val="true"/>
      <w:jc w:val="both"/>
      <w:outlineLvl w:val="6"/>
    </w:pPr>
    <w:rPr>
      <w:u w:val="single"/>
    </w:rPr>
  </w:style>
  <w:style w:type="paragraph" w:styleId="Ttulo8">
    <w:name w:val="Heading 8"/>
    <w:basedOn w:val="Normal"/>
    <w:next w:val="Normal"/>
    <w:qFormat/>
    <w:pPr>
      <w:keepNext w:val="true"/>
      <w:outlineLvl w:val="7"/>
    </w:pPr>
    <w:rPr>
      <w:u w:val="single"/>
    </w:rPr>
  </w:style>
  <w:style w:type="paragraph" w:styleId="Ttulo9">
    <w:name w:val="Heading 9"/>
    <w:basedOn w:val="Normal"/>
    <w:next w:val="Normal"/>
    <w:qFormat/>
    <w:pPr>
      <w:keepNext w:val="true"/>
      <w:outlineLvl w:val="8"/>
    </w:pPr>
    <w:rPr>
      <w:b/>
      <w:i/>
    </w:rPr>
  </w:style>
  <w:style w:type="character" w:styleId="DefaultParagraphFont" w:default="1">
    <w:name w:val="Default Paragraph Font"/>
    <w:uiPriority w:val="1"/>
    <w:semiHidden/>
    <w:unhideWhenUsed/>
    <w:qFormat/>
    <w:rPr/>
  </w:style>
  <w:style w:type="character" w:styleId="Hyperlink1" w:customStyle="1">
    <w:name w:val="Hyperlink1"/>
    <w:qFormat/>
    <w:rPr>
      <w:color w:val="0000FF"/>
      <w:u w:val="single"/>
    </w:rPr>
  </w:style>
  <w:style w:type="character" w:styleId="Forte1" w:customStyle="1">
    <w:name w:val="Forte1"/>
    <w:qFormat/>
    <w:rPr>
      <w:b/>
      <w:bCs/>
    </w:rPr>
  </w:style>
  <w:style w:type="character" w:styleId="Titulo031" w:customStyle="1">
    <w:name w:val="titulo031"/>
    <w:qFormat/>
    <w:rPr>
      <w:rFonts w:ascii="Arial" w:hAnsi="Arial" w:cs="Arial"/>
      <w:b/>
      <w:bCs/>
      <w:color w:val="CC6633"/>
      <w:sz w:val="18"/>
      <w:szCs w:val="18"/>
    </w:rPr>
  </w:style>
  <w:style w:type="character" w:styleId="RecuodecorpodetextoChar" w:customStyle="1">
    <w:name w:val="Recuo de corpo de texto Char"/>
    <w:qFormat/>
    <w:rsid w:val="00c357a2"/>
    <w:rPr>
      <w:sz w:val="28"/>
      <w:szCs w:val="24"/>
    </w:rPr>
  </w:style>
  <w:style w:type="character" w:styleId="Recuodecorpodetexto3Char" w:customStyle="1">
    <w:name w:val="Recuo de corpo de texto 3 Char"/>
    <w:link w:val="BodyTextIndent3"/>
    <w:qFormat/>
    <w:rsid w:val="00c357a2"/>
    <w:rPr>
      <w:sz w:val="28"/>
      <w:szCs w:val="24"/>
    </w:rPr>
  </w:style>
  <w:style w:type="character" w:styleId="Recuodecorpodetexto2Char" w:customStyle="1">
    <w:name w:val="Recuo de corpo de texto 2 Char"/>
    <w:link w:val="BodyTextIndent2"/>
    <w:qFormat/>
    <w:rsid w:val="00c357a2"/>
    <w:rPr>
      <w:rFonts w:ascii="Arial" w:hAnsi="Arial" w:cs="Arial"/>
      <w:sz w:val="24"/>
      <w:szCs w:val="24"/>
    </w:rPr>
  </w:style>
  <w:style w:type="character" w:styleId="CorpodetextoChar" w:customStyle="1">
    <w:name w:val="Corpo de texto Char"/>
    <w:qFormat/>
    <w:rsid w:val="00c357a2"/>
    <w:rPr>
      <w:rFonts w:ascii="Arial" w:hAnsi="Arial" w:cs="Arial"/>
      <w:sz w:val="24"/>
      <w:szCs w:val="24"/>
    </w:rPr>
  </w:style>
  <w:style w:type="character" w:styleId="TextodebaloChar" w:customStyle="1">
    <w:name w:val="Texto de balão Char"/>
    <w:link w:val="BalloonText"/>
    <w:qFormat/>
    <w:rsid w:val="008f66e8"/>
    <w:rPr>
      <w:rFonts w:ascii="Segoe UI" w:hAnsi="Segoe UI" w:cs="Segoe UI"/>
      <w:sz w:val="18"/>
      <w:szCs w:val="18"/>
    </w:rPr>
  </w:style>
  <w:style w:type="character" w:styleId="Appleconvertedspace" w:customStyle="1">
    <w:name w:val="apple-converted-space"/>
    <w:qFormat/>
    <w:rsid w:val="00de0d83"/>
    <w:rPr/>
  </w:style>
  <w:style w:type="character" w:styleId="Highlight" w:customStyle="1">
    <w:name w:val="highlight"/>
    <w:qFormat/>
    <w:rsid w:val="00de0d83"/>
    <w:rPr/>
  </w:style>
  <w:style w:type="character" w:styleId="Badge" w:customStyle="1">
    <w:name w:val="badge"/>
    <w:qFormat/>
    <w:rsid w:val="001d6cb1"/>
    <w:rPr/>
  </w:style>
  <w:style w:type="character" w:styleId="CabealhoChar" w:customStyle="1">
    <w:name w:val="Cabeçalho Char"/>
    <w:basedOn w:val="DefaultParagraphFont"/>
    <w:qFormat/>
    <w:rPr>
      <w:sz w:val="24"/>
      <w:szCs w:val="24"/>
    </w:rPr>
  </w:style>
  <w:style w:type="character" w:styleId="RodapChar" w:customStyle="1">
    <w:name w:val="Rodapé Char"/>
    <w:basedOn w:val="DefaultParagraphFont"/>
    <w:qFormat/>
    <w:rPr>
      <w:sz w:val="24"/>
      <w:szCs w:val="24"/>
    </w:rPr>
  </w:style>
  <w:style w:type="character" w:styleId="TextodenotadefimChar" w:customStyle="1">
    <w:name w:val="Texto de nota de fim Char"/>
    <w:basedOn w:val="DefaultParagraphFont"/>
    <w:qFormat/>
    <w:rPr>
      <w:rFonts w:ascii="Calibri" w:hAnsi="Calibri" w:eastAsia="Calibri"/>
      <w:lang w:eastAsia="en-US"/>
    </w:rPr>
  </w:style>
  <w:style w:type="character" w:styleId="TextodenotadefimChar1" w:customStyle="1">
    <w:name w:val="Texto de nota de fim Char1"/>
    <w:basedOn w:val="DefaultParagraphFont"/>
    <w:qFormat/>
    <w:rPr/>
  </w:style>
  <w:style w:type="character" w:styleId="Fontepargpadro1" w:customStyle="1">
    <w:name w:val="Fonte parág. padrão1"/>
    <w:qFormat/>
    <w:rPr/>
  </w:style>
  <w:style w:type="character" w:styleId="WW8Num22z8" w:customStyle="1">
    <w:name w:val="WW8Num22z8"/>
    <w:qFormat/>
    <w:rPr/>
  </w:style>
  <w:style w:type="character" w:styleId="WW8Num22z7" w:customStyle="1">
    <w:name w:val="WW8Num22z7"/>
    <w:qFormat/>
    <w:rPr/>
  </w:style>
  <w:style w:type="character" w:styleId="WW8Num22z6" w:customStyle="1">
    <w:name w:val="WW8Num22z6"/>
    <w:qFormat/>
    <w:rPr/>
  </w:style>
  <w:style w:type="character" w:styleId="WW8Num22z5" w:customStyle="1">
    <w:name w:val="WW8Num22z5"/>
    <w:qFormat/>
    <w:rPr/>
  </w:style>
  <w:style w:type="character" w:styleId="WW8Num22z4" w:customStyle="1">
    <w:name w:val="WW8Num22z4"/>
    <w:qFormat/>
    <w:rPr/>
  </w:style>
  <w:style w:type="character" w:styleId="WW8Num22z3" w:customStyle="1">
    <w:name w:val="WW8Num22z3"/>
    <w:qFormat/>
    <w:rPr/>
  </w:style>
  <w:style w:type="character" w:styleId="WW8Num22z2" w:customStyle="1">
    <w:name w:val="WW8Num22z2"/>
    <w:qFormat/>
    <w:rPr/>
  </w:style>
  <w:style w:type="character" w:styleId="WW8Num22z1" w:customStyle="1">
    <w:name w:val="WW8Num22z1"/>
    <w:qFormat/>
    <w:rPr/>
  </w:style>
  <w:style w:type="character" w:styleId="WW8Num22z0" w:customStyle="1">
    <w:name w:val="WW8Num22z0"/>
    <w:qFormat/>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1z0" w:customStyle="1">
    <w:name w:val="WW8Num21z0"/>
    <w:qFormat/>
    <w:rPr/>
  </w:style>
  <w:style w:type="character" w:styleId="WW8Num20z3" w:customStyle="1">
    <w:name w:val="WW8Num20z3"/>
    <w:qFormat/>
    <w:rPr>
      <w:rFonts w:ascii="Symbol" w:hAnsi="Symbol" w:cs="Symbol"/>
    </w:rPr>
  </w:style>
  <w:style w:type="character" w:styleId="WW8Num20z2" w:customStyle="1">
    <w:name w:val="WW8Num20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0" w:customStyle="1">
    <w:name w:val="WW8Num20z0"/>
    <w:qFormat/>
    <w:rPr>
      <w:rFonts w:ascii="Times New Roman" w:hAnsi="Times New Roman" w:eastAsia="Times New Roman" w:cs="Times New Roman"/>
    </w:rPr>
  </w:style>
  <w:style w:type="character" w:styleId="WW8Num19z3" w:customStyle="1">
    <w:name w:val="WW8Num19z3"/>
    <w:qFormat/>
    <w:rPr>
      <w:rFonts w:ascii="Symbol" w:hAnsi="Symbol" w:cs="Symbol"/>
    </w:rPr>
  </w:style>
  <w:style w:type="character" w:styleId="WW8Num19z2" w:customStyle="1">
    <w:name w:val="WW8Num19z2"/>
    <w:qFormat/>
    <w:rPr>
      <w:rFonts w:ascii="Wingdings" w:hAnsi="Wingdings" w:cs="Wingdings"/>
    </w:rPr>
  </w:style>
  <w:style w:type="character" w:styleId="WW8Num19z1" w:customStyle="1">
    <w:name w:val="WW8Num19z1"/>
    <w:qFormat/>
    <w:rPr>
      <w:rFonts w:ascii="Courier New" w:hAnsi="Courier New" w:cs="Courier New"/>
    </w:rPr>
  </w:style>
  <w:style w:type="character" w:styleId="WW8Num19z0" w:customStyle="1">
    <w:name w:val="WW8Num19z0"/>
    <w:qFormat/>
    <w:rPr>
      <w:rFonts w:ascii="Times New Roman" w:hAnsi="Times New Roman" w:eastAsia="Times New Roman" w:cs="Times New Roman"/>
    </w:rPr>
  </w:style>
  <w:style w:type="character" w:styleId="WW8Num18z8" w:customStyle="1">
    <w:name w:val="WW8Num18z8"/>
    <w:qFormat/>
    <w:rPr/>
  </w:style>
  <w:style w:type="character" w:styleId="WW8Num18z7" w:customStyle="1">
    <w:name w:val="WW8Num18z7"/>
    <w:qFormat/>
    <w:rPr/>
  </w:style>
  <w:style w:type="character" w:styleId="WW8Num18z6" w:customStyle="1">
    <w:name w:val="WW8Num18z6"/>
    <w:qFormat/>
    <w:rPr/>
  </w:style>
  <w:style w:type="character" w:styleId="WW8Num18z5" w:customStyle="1">
    <w:name w:val="WW8Num18z5"/>
    <w:qFormat/>
    <w:rPr/>
  </w:style>
  <w:style w:type="character" w:styleId="WW8Num18z4" w:customStyle="1">
    <w:name w:val="WW8Num18z4"/>
    <w:qFormat/>
    <w:rPr/>
  </w:style>
  <w:style w:type="character" w:styleId="WW8Num18z3" w:customStyle="1">
    <w:name w:val="WW8Num18z3"/>
    <w:qFormat/>
    <w:rPr/>
  </w:style>
  <w:style w:type="character" w:styleId="WW8Num18z2" w:customStyle="1">
    <w:name w:val="WW8Num18z2"/>
    <w:qFormat/>
    <w:rPr/>
  </w:style>
  <w:style w:type="character" w:styleId="WW8Num18z1" w:customStyle="1">
    <w:name w:val="WW8Num18z1"/>
    <w:qFormat/>
    <w:rPr/>
  </w:style>
  <w:style w:type="character" w:styleId="WW8Num18z0" w:customStyle="1">
    <w:name w:val="WW8Num18z0"/>
    <w:qFormat/>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6z4" w:customStyle="1">
    <w:name w:val="WW8Num16z4"/>
    <w:qFormat/>
    <w:rPr/>
  </w:style>
  <w:style w:type="character" w:styleId="WW8Num16z3" w:customStyle="1">
    <w:name w:val="WW8Num16z3"/>
    <w:qFormat/>
    <w:rPr/>
  </w:style>
  <w:style w:type="character" w:styleId="WW8Num16z2" w:customStyle="1">
    <w:name w:val="WW8Num16z2"/>
    <w:qFormat/>
    <w:rPr/>
  </w:style>
  <w:style w:type="character" w:styleId="WW8Num16z1" w:customStyle="1">
    <w:name w:val="WW8Num16z1"/>
    <w:qFormat/>
    <w:rPr/>
  </w:style>
  <w:style w:type="character" w:styleId="WW8Num16z0" w:customStyle="1">
    <w:name w:val="WW8Num16z0"/>
    <w:qFormat/>
    <w:rPr/>
  </w:style>
  <w:style w:type="character" w:styleId="WW8Num15z3" w:customStyle="1">
    <w:name w:val="WW8Num15z3"/>
    <w:qFormat/>
    <w:rPr>
      <w:rFonts w:ascii="Symbol" w:hAnsi="Symbol" w:cs="Symbol"/>
    </w:rPr>
  </w:style>
  <w:style w:type="character" w:styleId="WW8Num15z2" w:customStyle="1">
    <w:name w:val="WW8Num15z2"/>
    <w:qFormat/>
    <w:rPr>
      <w:rFonts w:ascii="Wingdings" w:hAnsi="Wingdings" w:cs="Wingdings"/>
    </w:rPr>
  </w:style>
  <w:style w:type="character" w:styleId="WW8Num15z1" w:customStyle="1">
    <w:name w:val="WW8Num15z1"/>
    <w:qFormat/>
    <w:rPr>
      <w:rFonts w:ascii="Courier New" w:hAnsi="Courier New" w:cs="Courier New"/>
    </w:rPr>
  </w:style>
  <w:style w:type="character" w:styleId="WW8Num15z0" w:customStyle="1">
    <w:name w:val="WW8Num15z0"/>
    <w:qFormat/>
    <w:rPr>
      <w:rFonts w:ascii="Times New Roman" w:hAnsi="Times New Roman" w:eastAsia="Times New Roman" w:cs="Times New Roman"/>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Times New Roman" w:hAnsi="Times New Roman" w:eastAsia="Times New Roman" w:cs="Times New Roman"/>
    </w:rPr>
  </w:style>
  <w:style w:type="character" w:styleId="WW8Num12z3" w:customStyle="1">
    <w:name w:val="WW8Num12z3"/>
    <w:qFormat/>
    <w:rPr>
      <w:rFonts w:ascii="Symbol" w:hAnsi="Symbol" w:cs="Symbol"/>
    </w:rPr>
  </w:style>
  <w:style w:type="character" w:styleId="WW8Num12z2" w:customStyle="1">
    <w:name w:val="WW8Num12z2"/>
    <w:qFormat/>
    <w:rPr>
      <w:rFonts w:ascii="Wingdings" w:hAnsi="Wingdings" w:cs="Wingdings"/>
    </w:rPr>
  </w:style>
  <w:style w:type="character" w:styleId="WW8Num12z1" w:customStyle="1">
    <w:name w:val="WW8Num12z1"/>
    <w:qFormat/>
    <w:rPr>
      <w:rFonts w:ascii="Courier New" w:hAnsi="Courier New" w:cs="Courier New"/>
    </w:rPr>
  </w:style>
  <w:style w:type="character" w:styleId="WW8Num12z0" w:customStyle="1">
    <w:name w:val="WW8Num12z0"/>
    <w:qFormat/>
    <w:rPr>
      <w:rFonts w:ascii="Times New Roman" w:hAnsi="Times New Roman" w:eastAsia="Times New Roman" w:cs="Times New Roman"/>
    </w:rPr>
  </w:style>
  <w:style w:type="character" w:styleId="WW8Num11z3" w:customStyle="1">
    <w:name w:val="WW8Num11z3"/>
    <w:qFormat/>
    <w:rPr>
      <w:rFonts w:ascii="Symbol" w:hAnsi="Symbol" w:cs="Symbol"/>
    </w:rPr>
  </w:style>
  <w:style w:type="character" w:styleId="WW8Num11z2" w:customStyle="1">
    <w:name w:val="WW8Num11z2"/>
    <w:qFormat/>
    <w:rPr>
      <w:rFonts w:ascii="Wingdings" w:hAnsi="Wingdings" w:cs="Wingdings"/>
    </w:rPr>
  </w:style>
  <w:style w:type="character" w:styleId="WW8Num11z1" w:customStyle="1">
    <w:name w:val="WW8Num11z1"/>
    <w:qFormat/>
    <w:rPr>
      <w:rFonts w:ascii="Courier New" w:hAnsi="Courier New" w:cs="Courier New"/>
    </w:rPr>
  </w:style>
  <w:style w:type="character" w:styleId="WW8Num11z0" w:customStyle="1">
    <w:name w:val="WW8Num11z0"/>
    <w:qFormat/>
    <w:rPr>
      <w:rFonts w:ascii="Times New Roman" w:hAnsi="Times New Roman" w:eastAsia="Times New Roman" w:cs="Times New Roman"/>
    </w:rPr>
  </w:style>
  <w:style w:type="character" w:styleId="WW8Num10z3" w:customStyle="1">
    <w:name w:val="WW8Num10z3"/>
    <w:qFormat/>
    <w:rPr>
      <w:rFonts w:ascii="Symbol" w:hAnsi="Symbol" w:cs="Symbol"/>
    </w:rPr>
  </w:style>
  <w:style w:type="character" w:styleId="WW8Num10z2" w:customStyle="1">
    <w:name w:val="WW8Num10z2"/>
    <w:qFormat/>
    <w:rPr>
      <w:rFonts w:ascii="Wingdings" w:hAnsi="Wingdings" w:cs="Wingdings"/>
    </w:rPr>
  </w:style>
  <w:style w:type="character" w:styleId="WW8Num10z1" w:customStyle="1">
    <w:name w:val="WW8Num10z1"/>
    <w:qFormat/>
    <w:rPr>
      <w:rFonts w:ascii="Courier New" w:hAnsi="Courier New" w:cs="Courier New"/>
    </w:rPr>
  </w:style>
  <w:style w:type="character" w:styleId="WW8Num10z0" w:customStyle="1">
    <w:name w:val="WW8Num10z0"/>
    <w:qFormat/>
    <w:rPr>
      <w:rFonts w:ascii="Times New Roman" w:hAnsi="Times New Roman" w:eastAsia="Times New Roman" w:cs="Times New Roman"/>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9z3" w:customStyle="1">
    <w:name w:val="WW8Num9z3"/>
    <w:qFormat/>
    <w:rPr/>
  </w:style>
  <w:style w:type="character" w:styleId="WW8Num9z2" w:customStyle="1">
    <w:name w:val="WW8Num9z2"/>
    <w:qFormat/>
    <w:rPr/>
  </w:style>
  <w:style w:type="character" w:styleId="WW8Num9z1" w:customStyle="1">
    <w:name w:val="WW8Num9z1"/>
    <w:qFormat/>
    <w:rPr/>
  </w:style>
  <w:style w:type="character" w:styleId="WW8Num9z0" w:customStyle="1">
    <w:name w:val="WW8Num9z0"/>
    <w:qFormat/>
    <w:rPr/>
  </w:style>
  <w:style w:type="character" w:styleId="WW8Num8z3" w:customStyle="1">
    <w:name w:val="WW8Num8z3"/>
    <w:qFormat/>
    <w:rPr>
      <w:rFonts w:ascii="Symbol" w:hAnsi="Symbol" w:cs="Symbol"/>
    </w:rPr>
  </w:style>
  <w:style w:type="character" w:styleId="WW8Num8z2" w:customStyle="1">
    <w:name w:val="WW8Num8z2"/>
    <w:qFormat/>
    <w:rPr>
      <w:rFonts w:ascii="Wingdings" w:hAnsi="Wingdings" w:cs="Wingdings"/>
    </w:rPr>
  </w:style>
  <w:style w:type="character" w:styleId="WW8Num8z1" w:customStyle="1">
    <w:name w:val="WW8Num8z1"/>
    <w:qFormat/>
    <w:rPr>
      <w:rFonts w:ascii="Courier New" w:hAnsi="Courier New" w:cs="Courier New"/>
    </w:rPr>
  </w:style>
  <w:style w:type="character" w:styleId="WW8Num8z0" w:customStyle="1">
    <w:name w:val="WW8Num8z0"/>
    <w:qFormat/>
    <w:rPr>
      <w:rFonts w:ascii="Times New Roman" w:hAnsi="Times New Roman" w:eastAsia="Times New Roman" w:cs="Times New Roman"/>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7z2" w:customStyle="1">
    <w:name w:val="WW8Num7z2"/>
    <w:qFormat/>
    <w:rPr/>
  </w:style>
  <w:style w:type="character" w:styleId="WW8Num7z1" w:customStyle="1">
    <w:name w:val="WW8Num7z1"/>
    <w:qFormat/>
    <w:rPr/>
  </w:style>
  <w:style w:type="character" w:styleId="WW8Num7z0" w:customStyle="1">
    <w:name w:val="WW8Num7z0"/>
    <w:qFormat/>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style>
  <w:style w:type="character" w:styleId="Fontepargpadro2" w:customStyle="1">
    <w:name w:val="Fonte parág. padrão2"/>
    <w:qFormat/>
    <w:rPr/>
  </w:style>
  <w:style w:type="character" w:styleId="Fontepargpadro3" w:customStyle="1">
    <w:name w:val="Fonte parág. padrão3"/>
    <w:qFormat/>
    <w:rPr/>
  </w:style>
  <w:style w:type="character" w:styleId="Fontepargpadro4" w:customStyle="1">
    <w:name w:val="Fonte parág. padrão4"/>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Marcas" w:customStyle="1">
    <w:name w:val="Marcas"/>
    <w:qFormat/>
    <w:rPr>
      <w:rFonts w:ascii="OpenSymbol" w:hAnsi="OpenSymbol" w:eastAsia="OpenSymbol" w:cs="OpenSymbol"/>
    </w:rPr>
  </w:style>
  <w:style w:type="character" w:styleId="Ttulo1Char" w:customStyle="1">
    <w:name w:val="Título 1 Char"/>
    <w:qFormat/>
    <w:rPr>
      <w:rFonts w:ascii="Times New Roman" w:hAnsi="Times New Roman" w:eastAsia="Times New Roman"/>
      <w:b/>
      <w:sz w:val="20"/>
      <w:szCs w:val="20"/>
    </w:rPr>
  </w:style>
  <w:style w:type="character" w:styleId="Ttulo2Char" w:customStyle="1">
    <w:name w:val="Título 2 Char"/>
    <w:qFormat/>
    <w:rPr>
      <w:rFonts w:ascii="Cambria" w:hAnsi="Cambria" w:eastAsia="Times New Roman"/>
      <w:b/>
      <w:bCs/>
      <w:color w:val="4F81BD"/>
      <w:sz w:val="26"/>
      <w:szCs w:val="26"/>
    </w:rPr>
  </w:style>
  <w:style w:type="character" w:styleId="T1" w:customStyle="1">
    <w:name w:val="t1"/>
    <w:qFormat/>
    <w:rPr/>
  </w:style>
  <w:style w:type="character" w:styleId="T3" w:customStyle="1">
    <w:name w:val="t3"/>
    <w:qFormat/>
    <w:rPr/>
  </w:style>
  <w:style w:type="character" w:styleId="Smbolosdenumerao" w:customStyle="1">
    <w:name w:val="Símbolos de numeração"/>
    <w:qFormat/>
    <w:rPr/>
  </w:style>
  <w:style w:type="character" w:styleId="LinkdaInternet">
    <w:name w:val="Hyperlink"/>
    <w:rPr>
      <w:color w:val="000080"/>
      <w:u w:val="single"/>
      <w:lang w:val="zxx" w:eastAsia="zxx" w:bidi="zxx"/>
    </w:rPr>
  </w:style>
  <w:style w:type="character" w:styleId="Linkdainternetvisitado">
    <w:name w:val="FollowedHyperlink"/>
    <w:basedOn w:val="DefaultParagraphFont"/>
    <w:rPr>
      <w:color w:val="800080" w:themeColor="followedHyperlink"/>
      <w:u w:val="single"/>
    </w:rPr>
  </w:style>
  <w:style w:type="character" w:styleId="FootnoteCharacters">
    <w:name w:val="Footnote Characters"/>
    <w:qFormat/>
    <w:rPr>
      <w:vertAlign w:val="superscript"/>
    </w:rPr>
  </w:style>
  <w:style w:type="character" w:styleId="Caracteresdenotaderodap">
    <w:name w:val="Caracteres de nota de rodapé"/>
    <w:qFormat/>
    <w:rPr/>
  </w:style>
  <w:style w:type="character" w:styleId="Ncoradanotaderodap">
    <w:name w:val="Footnote Reference"/>
    <w:rPr>
      <w:vertAlign w:val="superscript"/>
    </w:rPr>
  </w:style>
  <w:style w:type="character" w:styleId="Ncoradanotadefim">
    <w:name w:val="Endnote Reference"/>
    <w:rPr>
      <w:vertAlign w:val="superscript"/>
    </w:rPr>
  </w:style>
  <w:style w:type="character" w:styleId="EndnoteCharacters">
    <w:name w:val="Endnote Characters"/>
    <w:qFormat/>
    <w:rPr>
      <w:vertAlign w:val="superscript"/>
    </w:rPr>
  </w:style>
  <w:style w:type="character" w:styleId="Caracteresdenotadefim">
    <w:name w:val="Caracteres de nota de fim"/>
    <w:qFormat/>
    <w:rPr/>
  </w:style>
  <w:style w:type="character" w:styleId="NormalNegritoChar">
    <w:name w:val="Normal Negrito Char"/>
    <w:qFormat/>
    <w:rPr>
      <w:rFonts w:ascii="Times New Roman" w:hAnsi="Times New Roman" w:eastAsia="Times New Roman" w:cs="Times New Roman"/>
      <w:b/>
      <w:color w:val="000000"/>
      <w:sz w:val="24"/>
      <w:szCs w:val="24"/>
    </w:rPr>
  </w:style>
  <w:style w:type="character" w:styleId="PargrafodaListaChar">
    <w:name w:val="Parágrafo da Lista Char"/>
    <w:qFormat/>
    <w:rPr/>
  </w:style>
  <w:style w:type="character" w:styleId="Cf01">
    <w:name w:val="cf01"/>
    <w:qFormat/>
    <w:rPr>
      <w:rFonts w:ascii="Segoe UI" w:hAnsi="Segoe UI" w:eastAsia="Times New Roman" w:cs="Segoe UI"/>
      <w:color w:val="000000"/>
      <w:sz w:val="18"/>
      <w:szCs w:val="18"/>
    </w:rPr>
  </w:style>
  <w:style w:type="character" w:styleId="UnresolvedMention">
    <w:name w:val="Unresolved Mention"/>
    <w:qFormat/>
    <w:rPr>
      <w:rFonts w:ascii="Times New Roman" w:hAnsi="Times New Roman" w:eastAsia="Times New Roman" w:cs="Times New Roman"/>
      <w:color w:val="605E5C"/>
      <w:sz w:val="24"/>
      <w:szCs w:val="24"/>
      <w:shd w:fill="E1DFDD" w:val="clear"/>
    </w:rPr>
  </w:style>
  <w:style w:type="character" w:styleId="ParecerTtulo2Char">
    <w:name w:val="Parecer Título 2 Char"/>
    <w:qFormat/>
    <w:rPr>
      <w:rFonts w:ascii="Times New Roman" w:hAnsi="Times New Roman" w:eastAsia="Lucida Sans Unicode" w:cs="Times New Roman"/>
      <w:b/>
      <w:color w:val="000000"/>
      <w:sz w:val="28"/>
      <w:szCs w:val="28"/>
    </w:rPr>
  </w:style>
  <w:style w:type="character" w:styleId="TextodenotaderodapChar">
    <w:name w:val="Texto de nota de rodapé Char"/>
    <w:qFormat/>
    <w:rPr>
      <w:rFonts w:ascii="Times New Roman" w:hAnsi="Times New Roman" w:eastAsia="Times New Roman" w:cs="Times New Roman"/>
      <w:color w:val="000000"/>
      <w:sz w:val="20"/>
      <w:szCs w:val="20"/>
    </w:rPr>
  </w:style>
  <w:style w:type="character" w:styleId="Fontstyle31">
    <w:name w:val="fontstyle31"/>
    <w:qFormat/>
    <w:rPr>
      <w:rFonts w:ascii="Calibri" w:hAnsi="Calibri" w:eastAsia="Times New Roman" w:cs="Calibri"/>
      <w:b w:val="false"/>
      <w:bCs w:val="false"/>
      <w:i w:val="false"/>
      <w:iCs w:val="false"/>
      <w:color w:val="000000"/>
      <w:sz w:val="22"/>
      <w:szCs w:val="22"/>
    </w:rPr>
  </w:style>
  <w:style w:type="character" w:styleId="Fontstyle21">
    <w:name w:val="fontstyle21"/>
    <w:qFormat/>
    <w:rPr>
      <w:rFonts w:ascii="Times New Roman" w:hAnsi="Times New Roman" w:eastAsia="Times New Roman" w:cs="Times New Roman"/>
      <w:b w:val="false"/>
      <w:bCs w:val="false"/>
      <w:i w:val="false"/>
      <w:iCs w:val="false"/>
      <w:color w:val="000000"/>
    </w:rPr>
  </w:style>
  <w:style w:type="character" w:styleId="Fontstyle01">
    <w:name w:val="fontstyle01"/>
    <w:qFormat/>
    <w:rPr>
      <w:rFonts w:ascii="Times New Roman" w:hAnsi="Times New Roman" w:eastAsia="Times New Roman" w:cs="Times New Roman"/>
      <w:b/>
      <w:bCs/>
      <w:i w:val="false"/>
      <w:iCs w:val="false"/>
      <w:color w:val="000000"/>
    </w:rPr>
  </w:style>
  <w:style w:type="character" w:styleId="AssuntodocomentrioChar">
    <w:name w:val="Assunto do comentário Char"/>
    <w:qFormat/>
    <w:rPr>
      <w:rFonts w:ascii="Times New Roman" w:hAnsi="Times New Roman" w:eastAsia="Times New Roman" w:cs="Times New Roman"/>
      <w:b/>
      <w:bCs/>
      <w:color w:val="000000"/>
      <w:sz w:val="20"/>
      <w:szCs w:val="20"/>
    </w:rPr>
  </w:style>
  <w:style w:type="character" w:styleId="TextodecomentrioChar">
    <w:name w:val="Texto de comentário Char"/>
    <w:qFormat/>
    <w:rPr>
      <w:rFonts w:ascii="Times New Roman" w:hAnsi="Times New Roman" w:eastAsia="Times New Roman" w:cs="Times New Roman"/>
      <w:color w:val="000000"/>
      <w:sz w:val="20"/>
      <w:szCs w:val="20"/>
    </w:rPr>
  </w:style>
  <w:style w:type="character" w:styleId="Annotationreference">
    <w:name w:val="annotation reference"/>
    <w:qFormat/>
    <w:rPr>
      <w:rFonts w:ascii="Times New Roman" w:hAnsi="Times New Roman" w:eastAsia="Times New Roman" w:cs="Times New Roman"/>
      <w:color w:val="000000"/>
      <w:sz w:val="16"/>
      <w:szCs w:val="16"/>
    </w:rPr>
  </w:style>
  <w:style w:type="character" w:styleId="SubtleEmphasis">
    <w:name w:val="Subtle Emphasis"/>
    <w:qFormat/>
    <w:rPr>
      <w:rFonts w:ascii="Times New Roman" w:hAnsi="Times New Roman" w:eastAsia="Times New Roman" w:cs="Times New Roman"/>
      <w:i/>
      <w:iCs/>
      <w:color w:val="808080"/>
      <w:sz w:val="24"/>
      <w:szCs w:val="24"/>
    </w:rPr>
  </w:style>
  <w:style w:type="character" w:styleId="SemEspaamentoChar">
    <w:name w:val="Sem Espaçamento Char"/>
    <w:qFormat/>
    <w:rPr>
      <w:rFonts w:ascii="Times New Roman" w:hAnsi="Times New Roman" w:eastAsia="Times New Roman" w:cs="Times New Roman"/>
      <w:color w:val="000000"/>
      <w:sz w:val="24"/>
      <w:szCs w:val="24"/>
    </w:rPr>
  </w:style>
  <w:style w:type="character" w:styleId="Strong">
    <w:name w:val="Strong"/>
    <w:qFormat/>
    <w:rPr>
      <w:rFonts w:ascii="Times New Roman" w:hAnsi="Times New Roman" w:eastAsia="Times New Roman" w:cs="Times New Roman"/>
      <w:b/>
      <w:bCs/>
      <w:color w:val="000000"/>
      <w:sz w:val="24"/>
      <w:szCs w:val="24"/>
    </w:rPr>
  </w:style>
  <w:style w:type="character" w:styleId="CitaoChar">
    <w:name w:val="Citação Char"/>
    <w:qFormat/>
    <w:rPr>
      <w:rFonts w:ascii="Times New Roman" w:hAnsi="Times New Roman" w:eastAsia="Times New Roman" w:cs="Times New Roman"/>
      <w:i/>
      <w:iCs/>
      <w:color w:val="000000"/>
      <w:sz w:val="24"/>
      <w:szCs w:val="24"/>
    </w:rPr>
  </w:style>
  <w:style w:type="character" w:styleId="CitaoIntensaChar">
    <w:name w:val="Citação Intensa Char"/>
    <w:qFormat/>
    <w:rPr>
      <w:rFonts w:ascii="Times New Roman" w:hAnsi="Times New Roman" w:eastAsia="Times New Roman" w:cs="Times New Roman"/>
      <w:b/>
      <w:bCs/>
      <w:i/>
      <w:iCs/>
      <w:color w:val="4F81BD"/>
      <w:sz w:val="24"/>
      <w:szCs w:val="24"/>
    </w:rPr>
  </w:style>
  <w:style w:type="character" w:styleId="SubtleReference">
    <w:name w:val="Subtle Reference"/>
    <w:qFormat/>
    <w:rPr>
      <w:rFonts w:ascii="Times New Roman" w:hAnsi="Times New Roman" w:eastAsia="Times New Roman" w:cs="Times New Roman"/>
      <w:smallCaps/>
      <w:color w:val="C0504D"/>
      <w:sz w:val="24"/>
      <w:szCs w:val="24"/>
      <w:u w:val="single"/>
    </w:rPr>
  </w:style>
  <w:style w:type="character" w:styleId="IntenseReference">
    <w:name w:val="Intense Reference"/>
    <w:qFormat/>
    <w:rPr>
      <w:rFonts w:ascii="Times New Roman" w:hAnsi="Times New Roman" w:eastAsia="Times New Roman" w:cs="Times New Roman"/>
      <w:b/>
      <w:bCs/>
      <w:smallCaps/>
      <w:color w:val="C0504D"/>
      <w:spacing w:val="5"/>
      <w:sz w:val="24"/>
      <w:szCs w:val="24"/>
      <w:u w:val="single"/>
    </w:rPr>
  </w:style>
  <w:style w:type="character" w:styleId="BookTitle">
    <w:name w:val="Book Title"/>
    <w:qFormat/>
    <w:rPr>
      <w:rFonts w:ascii="Times New Roman" w:hAnsi="Times New Roman" w:eastAsia="Times New Roman" w:cs="Times New Roman"/>
      <w:b/>
      <w:bCs/>
      <w:smallCaps/>
      <w:color w:val="000000"/>
      <w:spacing w:val="5"/>
      <w:sz w:val="24"/>
      <w:szCs w:val="24"/>
    </w:rPr>
  </w:style>
  <w:style w:type="character" w:styleId="IntenseEmphasis">
    <w:name w:val="Intense Emphasis"/>
    <w:qFormat/>
    <w:rPr>
      <w:rFonts w:ascii="Times New Roman" w:hAnsi="Times New Roman" w:eastAsia="Times New Roman" w:cs="Times New Roman"/>
      <w:b/>
      <w:bCs/>
      <w:i/>
      <w:iCs/>
      <w:color w:val="4F81BD"/>
      <w:sz w:val="24"/>
      <w:szCs w:val="24"/>
    </w:rPr>
  </w:style>
  <w:style w:type="character" w:styleId="SubttuloChar">
    <w:name w:val="Subtítulo Char"/>
    <w:qFormat/>
    <w:rPr>
      <w:rFonts w:ascii="Cambria" w:hAnsi="Cambria" w:cs="0"/>
      <w:i/>
      <w:iCs/>
      <w:color w:val="4F81BD"/>
      <w:spacing w:val="15"/>
    </w:rPr>
  </w:style>
  <w:style w:type="character" w:styleId="TtuloChar">
    <w:name w:val="Título Char"/>
    <w:qFormat/>
    <w:rPr>
      <w:rFonts w:ascii="Cambria" w:hAnsi="Cambria" w:cs="0"/>
      <w:color w:val="17365D"/>
      <w:spacing w:val="5"/>
      <w:kern w:val="2"/>
      <w:sz w:val="52"/>
      <w:szCs w:val="52"/>
    </w:rPr>
  </w:style>
  <w:style w:type="character" w:styleId="Ttulo9Char">
    <w:name w:val="Título 9 Char"/>
    <w:qFormat/>
    <w:rPr>
      <w:rFonts w:ascii="Cambria" w:hAnsi="Cambria" w:cs="0"/>
      <w:i/>
      <w:iCs/>
      <w:color w:val="404040"/>
      <w:sz w:val="20"/>
      <w:szCs w:val="20"/>
    </w:rPr>
  </w:style>
  <w:style w:type="character" w:styleId="Ttulo8Char">
    <w:name w:val="Título 8 Char"/>
    <w:qFormat/>
    <w:rPr>
      <w:rFonts w:ascii="Cambria" w:hAnsi="Cambria" w:cs="0"/>
      <w:color w:val="404040"/>
      <w:sz w:val="20"/>
      <w:szCs w:val="20"/>
    </w:rPr>
  </w:style>
  <w:style w:type="character" w:styleId="Ttulo7Char">
    <w:name w:val="Título 7 Char"/>
    <w:qFormat/>
    <w:rPr>
      <w:rFonts w:ascii="Cambria" w:hAnsi="Cambria" w:cs="0"/>
      <w:i/>
      <w:iCs/>
      <w:color w:val="404040"/>
      <w:sz w:val="24"/>
      <w:szCs w:val="24"/>
    </w:rPr>
  </w:style>
  <w:style w:type="character" w:styleId="Ttulo6Char">
    <w:name w:val="Título 6 Char"/>
    <w:qFormat/>
    <w:rPr>
      <w:rFonts w:ascii="Cambria" w:hAnsi="Cambria" w:cs="0"/>
      <w:i/>
      <w:iCs/>
      <w:color w:val="243F60"/>
      <w:sz w:val="24"/>
      <w:szCs w:val="24"/>
    </w:rPr>
  </w:style>
  <w:style w:type="character" w:styleId="Ttulo5Char">
    <w:name w:val="Título 5 Char"/>
    <w:qFormat/>
    <w:rPr>
      <w:rFonts w:ascii="Cambria" w:hAnsi="Cambria" w:cs="0"/>
      <w:color w:val="243F60"/>
      <w:sz w:val="24"/>
      <w:szCs w:val="24"/>
    </w:rPr>
  </w:style>
  <w:style w:type="character" w:styleId="Ttulo4Char">
    <w:name w:val="Título 4 Char"/>
    <w:qFormat/>
    <w:rPr>
      <w:rFonts w:ascii="Cambria" w:hAnsi="Cambria" w:cs="0"/>
      <w:b/>
      <w:bCs/>
      <w:i/>
      <w:iCs/>
      <w:color w:val="4F81BD"/>
      <w:sz w:val="24"/>
      <w:szCs w:val="24"/>
    </w:rPr>
  </w:style>
  <w:style w:type="character" w:styleId="Ttulo3Char">
    <w:name w:val="Título 3 Char"/>
    <w:qFormat/>
    <w:rPr>
      <w:rFonts w:ascii="Cambria" w:hAnsi="Cambria" w:cs="0"/>
      <w:b/>
      <w:bCs/>
      <w:color w:val="4F81BD"/>
      <w:sz w:val="24"/>
      <w:szCs w:val="24"/>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pPr>
      <w:spacing w:lineRule="auto" w:line="360"/>
      <w:jc w:val="both"/>
    </w:pPr>
    <w:rPr>
      <w:rFonts w:ascii="Arial" w:hAnsi="Arial" w:cs="Arial"/>
    </w:rPr>
  </w:style>
  <w:style w:type="paragraph" w:styleId="Lista">
    <w:name w:val="List"/>
    <w:basedOn w:val="Corpodotexto"/>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aption1" w:customStyle="1">
    <w:name w:val="caption1"/>
    <w:basedOn w:val="Normal"/>
    <w:qFormat/>
    <w:pPr>
      <w:suppressLineNumbers/>
      <w:spacing w:before="120" w:after="120"/>
    </w:pPr>
    <w:rPr>
      <w:rFonts w:cs="Arial"/>
      <w:i/>
      <w:iCs/>
    </w:rPr>
  </w:style>
  <w:style w:type="paragraph" w:styleId="Corpodotextorecuado">
    <w:name w:val="Body Text Indent"/>
    <w:basedOn w:val="Normal"/>
    <w:link w:val="RecuodecorpodetextoChar"/>
    <w:pPr>
      <w:ind w:left="-180" w:hanging="0"/>
      <w:jc w:val="both"/>
    </w:pPr>
    <w:rPr>
      <w:sz w:val="28"/>
    </w:rPr>
  </w:style>
  <w:style w:type="paragraph" w:styleId="BodyTextIndent3">
    <w:name w:val="Body Text Indent 3"/>
    <w:basedOn w:val="Normal"/>
    <w:link w:val="Recuodecorpodetexto3Char"/>
    <w:qFormat/>
    <w:pPr>
      <w:ind w:firstLine="1620"/>
      <w:jc w:val="both"/>
    </w:pPr>
    <w:rPr>
      <w:sz w:val="28"/>
    </w:rPr>
  </w:style>
  <w:style w:type="paragraph" w:styleId="CabealhoeRodap" w:customStyle="1">
    <w:name w:val="Cabeçalho e Rodapé"/>
    <w:basedOn w:val="Normal"/>
    <w:qFormat/>
    <w:pPr/>
    <w:rPr/>
  </w:style>
  <w:style w:type="paragraph" w:styleId="Cabealho">
    <w:name w:val="Header"/>
    <w:basedOn w:val="Normal"/>
    <w:pPr>
      <w:tabs>
        <w:tab w:val="clear" w:pos="709"/>
        <w:tab w:val="center" w:pos="4419" w:leader="none"/>
        <w:tab w:val="right" w:pos="8838" w:leader="none"/>
      </w:tabs>
    </w:pPr>
    <w:rPr/>
  </w:style>
  <w:style w:type="paragraph" w:styleId="Rodap">
    <w:name w:val="Footer"/>
    <w:basedOn w:val="Normal"/>
    <w:pPr>
      <w:tabs>
        <w:tab w:val="clear" w:pos="709"/>
        <w:tab w:val="center" w:pos="4419" w:leader="none"/>
        <w:tab w:val="right" w:pos="8838" w:leader="none"/>
      </w:tabs>
    </w:pPr>
    <w:rPr/>
  </w:style>
  <w:style w:type="paragraph" w:styleId="BodyTextIndent2">
    <w:name w:val="Body Text Indent 2"/>
    <w:basedOn w:val="Normal"/>
    <w:link w:val="Recuodecorpodetexto2Char"/>
    <w:qFormat/>
    <w:pPr>
      <w:spacing w:lineRule="auto" w:line="360"/>
      <w:ind w:firstLine="2835"/>
      <w:jc w:val="both"/>
    </w:pPr>
    <w:rPr>
      <w:rFonts w:ascii="Arial" w:hAnsi="Arial" w:cs="Arial"/>
    </w:rPr>
  </w:style>
  <w:style w:type="paragraph" w:styleId="BodyText2">
    <w:name w:val="Body Text 2"/>
    <w:basedOn w:val="Normal"/>
    <w:qFormat/>
    <w:pPr>
      <w:jc w:val="both"/>
    </w:pPr>
    <w:rPr>
      <w:sz w:val="27"/>
    </w:rPr>
  </w:style>
  <w:style w:type="paragraph" w:styleId="NormalWeb">
    <w:name w:val="Normal (Web)"/>
    <w:basedOn w:val="Normal"/>
    <w:qFormat/>
    <w:pPr>
      <w:spacing w:beforeAutospacing="1" w:afterAutospacing="1"/>
    </w:pPr>
    <w:rPr>
      <w:color w:val="000000"/>
    </w:rPr>
  </w:style>
  <w:style w:type="paragraph" w:styleId="Corpodetexto21" w:customStyle="1">
    <w:name w:val="Corpo de texto 21"/>
    <w:basedOn w:val="Normal"/>
    <w:qFormat/>
    <w:pPr>
      <w:widowControl w:val="false"/>
      <w:jc w:val="both"/>
    </w:pPr>
    <w:rPr>
      <w:rFonts w:ascii="Arial" w:hAnsi="Arial"/>
      <w:sz w:val="20"/>
      <w:szCs w:val="20"/>
    </w:rPr>
  </w:style>
  <w:style w:type="paragraph" w:styleId="BalloonText">
    <w:name w:val="Balloon Text"/>
    <w:basedOn w:val="Normal"/>
    <w:link w:val="TextodebaloChar"/>
    <w:qFormat/>
    <w:pPr/>
    <w:rPr>
      <w:rFonts w:ascii="Segoe UI" w:hAnsi="Segoe UI" w:cs="Segoe UI"/>
      <w:sz w:val="18"/>
      <w:szCs w:val="18"/>
    </w:rPr>
  </w:style>
  <w:style w:type="paragraph" w:styleId="NoSpacing">
    <w:name w:val="No Spacing"/>
    <w:qFormat/>
    <w:pPr>
      <w:widowControl/>
      <w:suppressAutoHyphens w:val="true"/>
      <w:overflowPunct w:val="false"/>
      <w:bidi w:val="0"/>
      <w:spacing w:before="0" w:after="0"/>
      <w:jc w:val="left"/>
    </w:pPr>
    <w:rPr>
      <w:rFonts w:ascii="Calibri" w:hAnsi="Calibri" w:eastAsia="Calibri" w:cs="Calibri"/>
      <w:color w:val="00000A"/>
      <w:kern w:val="0"/>
      <w:sz w:val="22"/>
      <w:szCs w:val="22"/>
      <w:lang w:val="pt-BR" w:eastAsia="zh-CN" w:bidi="ar-SA"/>
    </w:rPr>
  </w:style>
  <w:style w:type="paragraph" w:styleId="Default" w:customStyle="1">
    <w:name w:val="Default"/>
    <w:qFormat/>
    <w:rsid w:val="007f7588"/>
    <w:pPr>
      <w:widowControl/>
      <w:suppressAutoHyphens w:val="true"/>
      <w:overflowPunct w:val="false"/>
      <w:bidi w:val="0"/>
      <w:spacing w:before="0" w:after="0"/>
      <w:jc w:val="left"/>
    </w:pPr>
    <w:rPr>
      <w:rFonts w:ascii="Palatino Linotype" w:hAnsi="Palatino Linotype" w:eastAsia="Times New Roman" w:cs="Palatino Linotype"/>
      <w:color w:val="000000"/>
      <w:kern w:val="0"/>
      <w:sz w:val="24"/>
      <w:szCs w:val="24"/>
      <w:lang w:val="pt-BR" w:eastAsia="pt-BR" w:bidi="ar-SA"/>
    </w:rPr>
  </w:style>
  <w:style w:type="paragraph" w:styleId="EndnoteSymbol" w:customStyle="1">
    <w:name w:val="Endnote Symbol"/>
    <w:basedOn w:val="Normal"/>
    <w:qFormat/>
    <w:pPr>
      <w:spacing w:lineRule="auto" w:line="276" w:before="0" w:after="200"/>
    </w:pPr>
    <w:rPr>
      <w:rFonts w:ascii="Calibri" w:hAnsi="Calibri" w:eastAsia="Calibri"/>
      <w:sz w:val="20"/>
      <w:szCs w:val="20"/>
      <w:lang w:eastAsia="en-US"/>
    </w:rPr>
  </w:style>
  <w:style w:type="paragraph" w:styleId="Textopadro" w:customStyle="1">
    <w:name w:val="Texto padrão"/>
    <w:basedOn w:val="Normal"/>
    <w:qFormat/>
    <w:pPr/>
    <w:rPr>
      <w:szCs w:val="20"/>
      <w:lang w:eastAsia="ar-SA"/>
    </w:rPr>
  </w:style>
  <w:style w:type="paragraph" w:styleId="Contedodatabela" w:customStyle="1">
    <w:name w:val="Conteúdo da tabela"/>
    <w:next w:val="Ttulo21"/>
    <w:qFormat/>
    <w:pPr>
      <w:widowControl w:val="false"/>
      <w:suppressLineNumbers/>
      <w:suppressAutoHyphens w:val="true"/>
      <w:bidi w:val="0"/>
      <w:spacing w:before="0" w:after="0"/>
      <w:jc w:val="left"/>
    </w:pPr>
    <w:rPr>
      <w:rFonts w:ascii="Liberation Serif" w:hAnsi="Liberation Serif" w:eastAsia="NSimSun" w:cs="Arial"/>
      <w:color w:val="auto"/>
      <w:kern w:val="2"/>
      <w:sz w:val="24"/>
      <w:szCs w:val="24"/>
      <w:lang w:val="pt-BR" w:eastAsia="zh-CN" w:bidi="hi-IN"/>
    </w:rPr>
  </w:style>
  <w:style w:type="paragraph" w:styleId="Ttulodetabela" w:customStyle="1">
    <w:name w:val="Título de tabela"/>
    <w:basedOn w:val="Contedodatabela"/>
    <w:qFormat/>
    <w:pPr>
      <w:jc w:val="center"/>
    </w:pPr>
    <w:rPr>
      <w:b/>
      <w:bCs/>
    </w:rPr>
  </w:style>
  <w:style w:type="paragraph" w:styleId="Recuodecorpodetexto22" w:customStyle="1">
    <w:name w:val="Recuo de corpo de texto 22"/>
    <w:basedOn w:val="Normal"/>
    <w:qFormat/>
    <w:pPr>
      <w:spacing w:lineRule="auto" w:line="360"/>
      <w:ind w:firstLine="2835"/>
      <w:jc w:val="both"/>
    </w:pPr>
    <w:rPr>
      <w:rFonts w:ascii="Arial" w:hAnsi="Arial" w:cs="Arial"/>
    </w:rPr>
  </w:style>
  <w:style w:type="paragraph" w:styleId="Recuodecorpodetexto21" w:customStyle="1">
    <w:name w:val="Recuo de corpo de texto 21"/>
    <w:basedOn w:val="Normal"/>
    <w:qFormat/>
    <w:pPr>
      <w:spacing w:lineRule="auto" w:line="360"/>
      <w:ind w:firstLine="2835"/>
      <w:jc w:val="both"/>
    </w:pPr>
    <w:rPr>
      <w:rFonts w:ascii="Arial" w:hAnsi="Arial" w:cs="Arial"/>
    </w:rPr>
  </w:style>
  <w:style w:type="paragraph" w:styleId="Recuodecorpodetexto31" w:customStyle="1">
    <w:name w:val="Recuo de corpo de texto 31"/>
    <w:basedOn w:val="Normal"/>
    <w:qFormat/>
    <w:pPr>
      <w:ind w:firstLine="1620"/>
      <w:jc w:val="both"/>
    </w:pPr>
    <w:rPr>
      <w:sz w:val="28"/>
    </w:rPr>
  </w:style>
  <w:style w:type="paragraph" w:styleId="Ttulo11" w:customStyle="1">
    <w:name w:val="Título1"/>
    <w:basedOn w:val="Normal"/>
    <w:qFormat/>
    <w:pPr>
      <w:keepNext w:val="true"/>
      <w:spacing w:before="240" w:after="120"/>
    </w:pPr>
    <w:rPr>
      <w:rFonts w:ascii="Liberation Sans;Arial" w:hAnsi="Liberation Sans;Arial" w:eastAsia="Microsoft YaHei" w:cs="Arial"/>
      <w:sz w:val="28"/>
      <w:szCs w:val="28"/>
    </w:rPr>
  </w:style>
  <w:style w:type="paragraph" w:styleId="Ttulo21" w:customStyle="1">
    <w:name w:val="Título2"/>
    <w:basedOn w:val="Normal"/>
    <w:qFormat/>
    <w:pPr>
      <w:keepNext w:val="true"/>
      <w:spacing w:before="240" w:after="120"/>
    </w:pPr>
    <w:rPr>
      <w:rFonts w:ascii="Liberation Sans;Arial" w:hAnsi="Liberation Sans;Arial" w:eastAsia="Microsoft YaHei" w:cs="Arial"/>
      <w:sz w:val="28"/>
      <w:szCs w:val="28"/>
    </w:rPr>
  </w:style>
  <w:style w:type="paragraph" w:styleId="Ttulo31" w:customStyle="1">
    <w:name w:val="Título3"/>
    <w:basedOn w:val="Normal"/>
    <w:qFormat/>
    <w:pPr>
      <w:keepNext w:val="true"/>
      <w:spacing w:before="240" w:after="120"/>
    </w:pPr>
    <w:rPr>
      <w:rFonts w:ascii="Liberation Sans;Arial" w:hAnsi="Liberation Sans;Arial" w:eastAsia="Microsoft YaHei" w:cs="Arial"/>
      <w:sz w:val="28"/>
      <w:szCs w:val="28"/>
    </w:rPr>
  </w:style>
  <w:style w:type="paragraph" w:styleId="Ttulo41" w:customStyle="1">
    <w:name w:val="Título4"/>
    <w:basedOn w:val="Normal"/>
    <w:qFormat/>
    <w:pPr>
      <w:keepNext w:val="true"/>
      <w:spacing w:before="240" w:after="120"/>
    </w:pPr>
    <w:rPr>
      <w:rFonts w:ascii="Liberation Sans;Arial" w:hAnsi="Liberation Sans;Arial" w:eastAsia="Microsoft YaHei" w:cs="Arial"/>
      <w:sz w:val="28"/>
      <w:szCs w:val="28"/>
    </w:rPr>
  </w:style>
  <w:style w:type="paragraph" w:styleId="ListParagraph">
    <w:name w:val="List Paragraph"/>
    <w:basedOn w:val="Normal"/>
    <w:qFormat/>
    <w:pPr>
      <w:spacing w:lineRule="auto" w:line="276" w:before="0" w:after="200"/>
      <w:ind w:left="720" w:hanging="0"/>
      <w:contextualSpacing/>
    </w:pPr>
    <w:rPr>
      <w:rFonts w:ascii="Calibri" w:hAnsi="Calibri" w:eastAsia="Calibri"/>
      <w:sz w:val="22"/>
      <w:szCs w:val="22"/>
      <w:lang w:eastAsia="ar-SA"/>
    </w:rPr>
  </w:style>
  <w:style w:type="paragraph" w:styleId="P7" w:customStyle="1">
    <w:name w:val="p7"/>
    <w:basedOn w:val="Normal"/>
    <w:qFormat/>
    <w:pPr>
      <w:spacing w:before="280" w:after="280"/>
    </w:pPr>
    <w:rPr/>
  </w:style>
  <w:style w:type="paragraph" w:styleId="P19" w:customStyle="1">
    <w:name w:val="p19"/>
    <w:basedOn w:val="Normal"/>
    <w:qFormat/>
    <w:pPr>
      <w:spacing w:before="280" w:after="280"/>
    </w:pPr>
    <w:rPr/>
  </w:style>
  <w:style w:type="paragraph" w:styleId="Commarcadores31" w:customStyle="1">
    <w:name w:val="Com marcadores 31"/>
    <w:basedOn w:val="Normal"/>
    <w:qFormat/>
    <w:pPr>
      <w:jc w:val="both"/>
    </w:pPr>
    <w:rPr>
      <w:b/>
      <w:sz w:val="20"/>
    </w:rPr>
  </w:style>
  <w:style w:type="paragraph" w:styleId="TableParagraph" w:customStyle="1">
    <w:name w:val="Table Paragraph"/>
    <w:basedOn w:val="Normal"/>
    <w:qFormat/>
    <w:pPr/>
    <w:rPr>
      <w:lang w:val="pt-PT" w:eastAsia="en-US"/>
    </w:rPr>
  </w:style>
  <w:style w:type="paragraph" w:styleId="Xmsonormal" w:customStyle="1">
    <w:name w:val="x_msonormal"/>
    <w:basedOn w:val="Normal"/>
    <w:next w:val="ListBullet2"/>
    <w:qFormat/>
    <w:pPr>
      <w:spacing w:before="280" w:after="280"/>
    </w:pPr>
    <w:rPr/>
  </w:style>
  <w:style w:type="paragraph" w:styleId="ListBullet2">
    <w:name w:val="List Bullet 2"/>
    <w:basedOn w:val="Normal"/>
    <w:next w:val="Contedodatabela"/>
    <w:qFormat/>
    <w:pPr>
      <w:ind w:left="566" w:hanging="283"/>
    </w:pPr>
    <w:rPr/>
  </w:style>
  <w:style w:type="paragraph" w:styleId="Corpodetexto31" w:customStyle="1">
    <w:name w:val="Corpo de texto 31"/>
    <w:basedOn w:val="Normal"/>
    <w:next w:val="Ttulododocumento"/>
    <w:qFormat/>
    <w:pPr>
      <w:spacing w:before="0" w:after="120"/>
    </w:pPr>
    <w:rPr>
      <w:sz w:val="16"/>
      <w:szCs w:val="16"/>
    </w:rPr>
  </w:style>
  <w:style w:type="paragraph" w:styleId="Notaderodap">
    <w:name w:val="Footnote Text"/>
    <w:basedOn w:val="Normal"/>
    <w:pPr>
      <w:suppressLineNumbers/>
      <w:ind w:left="340" w:hanging="340"/>
    </w:pPr>
    <w:rPr>
      <w:sz w:val="20"/>
      <w:szCs w:val="20"/>
    </w:rPr>
  </w:style>
  <w:style w:type="paragraph" w:styleId="PEAttulo2">
    <w:name w:val="PEÇA_título2"/>
    <w:basedOn w:val="Normal"/>
    <w:next w:val="PEAnormal"/>
    <w:qFormat/>
    <w:pPr>
      <w:widowControl w:val="false"/>
      <w:numPr>
        <w:ilvl w:val="1"/>
        <w:numId w:val="1"/>
      </w:numPr>
      <w:tabs>
        <w:tab w:val="left" w:pos="709" w:leader="none"/>
        <w:tab w:val="left" w:pos="851" w:leader="none"/>
      </w:tabs>
      <w:suppressAutoHyphens w:val="true"/>
      <w:spacing w:lineRule="auto" w:line="240" w:before="360" w:after="240"/>
      <w:jc w:val="both"/>
    </w:pPr>
    <w:rPr>
      <w:rFonts w:ascii="Times New Roman" w:hAnsi="Times New Roman" w:eastAsia="Lucida Sans Unicode" w:cs="Times New Roman"/>
      <w:b/>
      <w:sz w:val="28"/>
      <w:szCs w:val="28"/>
    </w:rPr>
  </w:style>
  <w:style w:type="paragraph" w:styleId="PEAnormal">
    <w:name w:val="PEÇA_normal"/>
    <w:basedOn w:val="Normal"/>
    <w:qFormat/>
    <w:pPr>
      <w:widowControl w:val="false"/>
      <w:suppressAutoHyphens w:val="true"/>
      <w:spacing w:lineRule="auto" w:line="240" w:before="120" w:after="120"/>
      <w:ind w:firstLine="1701"/>
      <w:jc w:val="both"/>
    </w:pPr>
    <w:rPr>
      <w:rFonts w:ascii="Times New Roman" w:hAnsi="Times New Roman" w:eastAsia="Lucida Sans Unicode" w:cs="Times New Roman"/>
      <w:sz w:val="28"/>
      <w:szCs w:val="28"/>
      <w:lang w:eastAsia="pt-BR"/>
    </w:rPr>
  </w:style>
  <w:style w:type="paragraph" w:styleId="ParecerTtulo2">
    <w:name w:val="Parecer Título 2"/>
    <w:basedOn w:val="PEAttulo2"/>
    <w:qFormat/>
    <w:pPr/>
    <w:rPr/>
  </w:style>
  <w:style w:type="paragraph" w:styleId="PEAalnea">
    <w:name w:val="PEÇA_alínea"/>
    <w:basedOn w:val="Normal"/>
    <w:next w:val="PEAnormal"/>
    <w:qFormat/>
    <w:pPr>
      <w:widowControl w:val="false"/>
      <w:numPr>
        <w:ilvl w:val="0"/>
        <w:numId w:val="2"/>
      </w:numPr>
      <w:tabs>
        <w:tab w:val="clear" w:pos="709"/>
        <w:tab w:val="left" w:pos="426" w:leader="none"/>
        <w:tab w:val="left" w:pos="993" w:leader="none"/>
      </w:tabs>
      <w:suppressAutoHyphens w:val="true"/>
      <w:spacing w:lineRule="auto" w:line="240" w:before="80" w:after="80"/>
      <w:ind w:left="567" w:hanging="0"/>
      <w:jc w:val="both"/>
    </w:pPr>
    <w:rPr>
      <w:rFonts w:ascii="Times New Roman" w:hAnsi="Times New Roman" w:eastAsia="Times New Roman" w:cs="Times New Roman"/>
      <w:spacing w:val="-4"/>
      <w:sz w:val="28"/>
      <w:szCs w:val="20"/>
      <w:lang w:eastAsia="pt-BR"/>
    </w:rPr>
  </w:style>
  <w:style w:type="paragraph" w:styleId="NormalNegrito">
    <w:name w:val="Normal Negrito"/>
    <w:basedOn w:val="Normal"/>
    <w:qFormat/>
    <w:pPr>
      <w:spacing w:lineRule="exact" w:line="240" w:before="0" w:after="0"/>
    </w:pPr>
    <w:rPr>
      <w:b/>
    </w:rPr>
  </w:style>
  <w:style w:type="paragraph" w:styleId="Pargrafobsico">
    <w:name w:val="[Parágrafo básico]"/>
    <w:basedOn w:val="Normal"/>
    <w:qFormat/>
    <w:pPr>
      <w:spacing w:lineRule="exact" w:line="288" w:before="0" w:after="0"/>
      <w:textAlignment w:val="center"/>
    </w:pPr>
    <w:rPr>
      <w:rFonts w:ascii="MinionPro-Regular" w:hAnsi="MinionPro-Regular" w:cs="MinionPro-Regular"/>
      <w:color w:val="000000"/>
    </w:rPr>
  </w:style>
  <w:style w:type="paragraph" w:styleId="Revision">
    <w:name w:val="Revision"/>
    <w:qFormat/>
    <w:pPr>
      <w:widowControl/>
      <w:suppressAutoHyphens w:val="true"/>
      <w:bidi w:val="0"/>
      <w:spacing w:lineRule="auto" w:line="240" w:before="0" w:after="0"/>
      <w:jc w:val="left"/>
    </w:pPr>
    <w:rPr>
      <w:rFonts w:ascii="Calibri" w:hAnsi="Calibri" w:eastAsia="Calibri" w:cs="0"/>
      <w:color w:val="auto"/>
      <w:kern w:val="0"/>
      <w:sz w:val="22"/>
      <w:szCs w:val="22"/>
      <w:lang w:val="pt-BR" w:eastAsia="en-US" w:bidi="ar-SA"/>
    </w:rPr>
  </w:style>
  <w:style w:type="paragraph" w:styleId="TCUAcitem9">
    <w:name w:val="TCU - Ac - item 9 - §§"/>
    <w:basedOn w:val="Normal"/>
    <w:qFormat/>
    <w:pPr>
      <w:widowControl w:val="false"/>
      <w:tabs>
        <w:tab w:val="clear" w:pos="709"/>
        <w:tab w:val="left" w:pos="567" w:leader="none"/>
      </w:tabs>
      <w:spacing w:lineRule="exact" w:line="240" w:before="360" w:after="240"/>
      <w:jc w:val="both"/>
    </w:pPr>
    <w:rPr>
      <w:rFonts w:ascii="Times New Roman" w:hAnsi="Times New Roman" w:eastAsia="Lucida Sans Unicode" w:cs="Times New Roman"/>
      <w:i/>
      <w:sz w:val="28"/>
      <w:szCs w:val="28"/>
    </w:rPr>
  </w:style>
  <w:style w:type="paragraph" w:styleId="PEAttulo3">
    <w:name w:val="PEÇA_título3"/>
    <w:qFormat/>
    <w:pPr>
      <w:widowControl/>
      <w:tabs>
        <w:tab w:val="left" w:pos="360" w:leader="none"/>
        <w:tab w:val="left" w:pos="709" w:leader="none"/>
        <w:tab w:val="left" w:pos="851" w:leader="none"/>
      </w:tabs>
      <w:suppressAutoHyphens w:val="true"/>
      <w:bidi w:val="0"/>
      <w:spacing w:lineRule="exact" w:line="240" w:before="360" w:after="240"/>
      <w:jc w:val="both"/>
    </w:pPr>
    <w:rPr>
      <w:rFonts w:ascii="Times New Roman" w:hAnsi="Times New Roman" w:eastAsia="Lucida Sans Unicode" w:cs="Times New Roman"/>
      <w:b/>
      <w:i/>
      <w:color w:val="auto"/>
      <w:kern w:val="2"/>
      <w:sz w:val="28"/>
      <w:szCs w:val="28"/>
      <w:lang w:val="pt-BR" w:eastAsia="zh-CN" w:bidi="hi-IN"/>
    </w:rPr>
  </w:style>
  <w:style w:type="paragraph" w:styleId="Corpo">
    <w:name w:val="corpo"/>
    <w:basedOn w:val="Normal"/>
    <w:qFormat/>
    <w:pPr>
      <w:spacing w:lineRule="exact" w:line="240" w:beforeAutospacing="1" w:afterAutospacing="1"/>
    </w:pPr>
    <w:rPr>
      <w:rFonts w:ascii="Times New Roman" w:hAnsi="Times New Roman" w:eastAsia="Times New Roman" w:cs="Times New Roman"/>
      <w:lang w:eastAsia="pt-BR"/>
    </w:rPr>
  </w:style>
  <w:style w:type="paragraph" w:styleId="Douparagraph">
    <w:name w:val="dou-paragraph"/>
    <w:basedOn w:val="Normal"/>
    <w:qFormat/>
    <w:pPr>
      <w:spacing w:lineRule="exact" w:line="240" w:beforeAutospacing="1" w:afterAutospacing="1"/>
    </w:pPr>
    <w:rPr>
      <w:rFonts w:ascii="Times New Roman" w:hAnsi="Times New Roman" w:eastAsia="Times New Roman" w:cs="Times New Roman"/>
      <w:lang w:eastAsia="pt-BR"/>
    </w:rPr>
  </w:style>
  <w:style w:type="paragraph" w:styleId="Annotationsubject">
    <w:name w:val="annotation subject"/>
    <w:qFormat/>
    <w:pPr>
      <w:widowControl/>
      <w:suppressAutoHyphens w:val="true"/>
      <w:bidi w:val="0"/>
      <w:spacing w:lineRule="exact" w:line="240" w:before="0" w:after="0"/>
      <w:jc w:val="left"/>
    </w:pPr>
    <w:rPr>
      <w:rFonts w:ascii="Calibri" w:hAnsi="Calibri" w:eastAsia="NSimSun" w:cs="Arial"/>
      <w:b/>
      <w:bCs/>
      <w:color w:val="auto"/>
      <w:kern w:val="2"/>
      <w:sz w:val="20"/>
      <w:szCs w:val="20"/>
      <w:lang w:val="pt-BR" w:eastAsia="zh-CN" w:bidi="hi-IN"/>
    </w:rPr>
  </w:style>
  <w:style w:type="paragraph" w:styleId="Western">
    <w:name w:val="western"/>
    <w:basedOn w:val="Normal"/>
    <w:qFormat/>
    <w:pPr>
      <w:spacing w:lineRule="exact" w:line="240" w:beforeAutospacing="1" w:after="119"/>
      <w:jc w:val="both"/>
    </w:pPr>
    <w:rPr>
      <w:rFonts w:ascii="Arial" w:hAnsi="Arial" w:eastAsia="Times New Roman"/>
      <w:lang w:eastAsia="pt-BR"/>
    </w:rPr>
  </w:style>
  <w:style w:type="paragraph" w:styleId="T11">
    <w:name w:val="T1"/>
    <w:basedOn w:val="Normal"/>
    <w:qFormat/>
    <w:pPr>
      <w:keepNext w:val="true"/>
      <w:tabs>
        <w:tab w:val="clear" w:pos="709"/>
        <w:tab w:val="left" w:pos="567" w:leader="none"/>
        <w:tab w:val="right" w:pos="9061" w:leader="dot"/>
      </w:tabs>
      <w:spacing w:lineRule="exact" w:line="240" w:before="480" w:after="360"/>
      <w:ind w:left="360" w:hanging="360"/>
      <w:jc w:val="both"/>
    </w:pPr>
    <w:rPr>
      <w:rFonts w:ascii="Times New Roman" w:hAnsi="Times New Roman" w:eastAsia="Calibri" w:cs="Calibri"/>
      <w:b/>
      <w:bCs/>
      <w:caps/>
      <w:szCs w:val="28"/>
      <w:lang w:eastAsia="pt-BR"/>
    </w:rPr>
  </w:style>
  <w:style w:type="paragraph" w:styleId="Annotationtext">
    <w:name w:val="annotation text"/>
    <w:basedOn w:val="Normal"/>
    <w:qFormat/>
    <w:pPr>
      <w:spacing w:lineRule="exact" w:line="240" w:before="120" w:after="120"/>
      <w:ind w:firstLine="1701"/>
    </w:pPr>
    <w:rPr>
      <w:rFonts w:ascii="Times New Roman" w:hAnsi="Times New Roman"/>
      <w:sz w:val="20"/>
      <w:szCs w:val="20"/>
    </w:rPr>
  </w:style>
  <w:style w:type="paragraph" w:styleId="FooterLeft">
    <w:name w:val="Footer Left"/>
    <w:qFormat/>
    <w:pPr>
      <w:widowControl/>
      <w:pBdr>
        <w:top w:val="dashed" w:sz="4" w:space="18" w:color="7F7F7F"/>
      </w:pBdr>
      <w:tabs>
        <w:tab w:val="clear" w:pos="709"/>
        <w:tab w:val="center" w:pos="4320" w:leader="none"/>
        <w:tab w:val="right" w:pos="8640" w:leader="none"/>
      </w:tabs>
      <w:suppressAutoHyphens w:val="true"/>
      <w:bidi w:val="0"/>
      <w:spacing w:lineRule="exact" w:line="240" w:before="0" w:after="0"/>
      <w:contextualSpacing/>
      <w:jc w:val="left"/>
    </w:pPr>
    <w:rPr>
      <w:rFonts w:ascii="Liberation Serif" w:hAnsi="Liberation Serif" w:eastAsia="NSimSun" w:cs="Arial"/>
      <w:color w:val="7F7F7F"/>
      <w:kern w:val="2"/>
      <w:sz w:val="20"/>
      <w:szCs w:val="20"/>
      <w:lang w:val="pt-BR" w:eastAsia="fr-FR" w:bidi="hi-IN"/>
    </w:rPr>
  </w:style>
  <w:style w:type="paragraph" w:styleId="FooterRight">
    <w:name w:val="Footer Right"/>
    <w:qFormat/>
    <w:pPr>
      <w:widowControl/>
      <w:pBdr>
        <w:top w:val="dashed" w:sz="4" w:space="18" w:color="7F7F7F"/>
      </w:pBdr>
      <w:tabs>
        <w:tab w:val="clear" w:pos="709"/>
        <w:tab w:val="center" w:pos="4320" w:leader="none"/>
        <w:tab w:val="right" w:pos="8640" w:leader="none"/>
      </w:tabs>
      <w:suppressAutoHyphens w:val="true"/>
      <w:bidi w:val="0"/>
      <w:spacing w:lineRule="exact" w:line="240" w:before="0" w:after="0"/>
      <w:contextualSpacing/>
      <w:jc w:val="right"/>
    </w:pPr>
    <w:rPr>
      <w:rFonts w:ascii="Liberation Serif" w:hAnsi="Liberation Serif" w:eastAsia="NSimSun" w:cs="Arial"/>
      <w:color w:val="7F7F7F"/>
      <w:kern w:val="2"/>
      <w:sz w:val="20"/>
      <w:szCs w:val="20"/>
      <w:lang w:val="pt-BR" w:eastAsia="fr-FR" w:bidi="hi-IN"/>
    </w:rPr>
  </w:style>
  <w:style w:type="paragraph" w:styleId="Quote">
    <w:name w:val="Quote"/>
    <w:basedOn w:val="Normal"/>
    <w:next w:val="Normal"/>
    <w:qFormat/>
    <w:pPr/>
    <w:rPr>
      <w:i/>
      <w:iCs/>
      <w:color w:val="000000"/>
    </w:rPr>
  </w:style>
  <w:style w:type="paragraph" w:styleId="IntenseQuote">
    <w:name w:val="Intense Quote"/>
    <w:basedOn w:val="Normal"/>
    <w:next w:val="Normal"/>
    <w:qFormat/>
    <w:pPr>
      <w:pBdr>
        <w:bottom w:val="single" w:sz="4" w:space="4" w:color="4F81BD"/>
      </w:pBdr>
      <w:spacing w:before="200" w:after="280"/>
      <w:ind w:left="936" w:right="936" w:hanging="0"/>
    </w:pPr>
    <w:rPr>
      <w:b/>
      <w:bCs/>
      <w:i/>
      <w:iCs/>
      <w:color w:val="4F81BD"/>
    </w:rPr>
  </w:style>
  <w:style w:type="numbering" w:styleId="NoList" w:default="1">
    <w:name w:val="No List"/>
    <w:uiPriority w:val="99"/>
    <w:semiHidden/>
    <w:unhideWhenUsed/>
    <w:qFormat/>
  </w:style>
  <w:style w:type="numbering" w:styleId="WW8Num1" w:customStyle="1">
    <w:name w:val="WW8Num1"/>
    <w:qFormat/>
  </w:style>
  <w:style w:type="numbering" w:styleId="WW8Num9" w:customStyle="1">
    <w:name w:val="WW8Num9"/>
    <w:qFormat/>
  </w:style>
  <w:style w:type="numbering" w:styleId="WW8Num11" w:customStyle="1">
    <w:name w:val="WW8Num11"/>
    <w:qFormat/>
  </w:style>
  <w:style w:type="numbering" w:styleId="WW8Num5" w:customStyle="1">
    <w:name w:val="WW8Num5"/>
    <w:qFormat/>
  </w:style>
  <w:style w:type="numbering" w:styleId="WW8Num6" w:customStyle="1">
    <w:name w:val="WW8Num6"/>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camaratp@camaratp.rs.gov.br" TargetMode="External"/>
</Relationships>
</file>

<file path=word/_rels/footnotes.xml.rels><?xml version="1.0" encoding="UTF-8"?>
<Relationships xmlns="http://schemas.openxmlformats.org/package/2006/relationships"><Relationship Id="rId1" Type="http://schemas.openxmlformats.org/officeDocument/2006/relationships/hyperlink" Target="https://www.portaldecompraspublicas.com.br/18/Adesao/Fornecedor/" TargetMode="External"/><Relationship Id="rId2" Type="http://schemas.openxmlformats.org/officeDocument/2006/relationships/hyperlink" Target="https://www.licitacoes-e.com.br/aop/documentos/FAQ.pdf" TargetMode="External"/><Relationship Id="rId3" Type="http://schemas.openxmlformats.org/officeDocument/2006/relationships/hyperlink" Target="https://www.portaldecompraspublicas.com.br/adesao/fornecedor?utm_source=google-ads&amp;utm_medium=search&amp;utm_campaign=plano-pago&amp;gclid=Cj0KCQiApKagBhC1ARIsAFc7Mc5TMWR_R63JJ2OI99JX3SjZTzJObbGQW-h-JJwTK7K2USFnFtUxx4oaAtXEEALw_wcB"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1704</TotalTime>
  <Application>LibreOffice/7.4.2.3$Windows_X86_64 LibreOffice_project/382eef1f22670f7f4118c8c2dd222ec7ad009daf</Application>
  <AppVersion>15.0000</AppVersion>
  <Pages>17</Pages>
  <Words>5608</Words>
  <Characters>32584</Characters>
  <CharactersWithSpaces>37896</CharactersWithSpaces>
  <Paragraphs>327</Paragraphs>
  <Company>Poder Legislativo de Três Passos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Municipal de Vereadores de Três Passos</dc:creator>
  <dc:description/>
  <dc:language>pt-BR</dc:language>
  <cp:lastModifiedBy/>
  <cp:lastPrinted>2024-11-21T14:42:52Z</cp:lastPrinted>
  <dcterms:modified xsi:type="dcterms:W3CDTF">2024-11-29T17:14:32Z</dcterms:modified>
  <cp:revision>19</cp:revision>
  <dc:subject/>
  <dc:title>Ofício nº  279/02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